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5FF12506"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bookmarkStart w:id="0" w:name="_GoBack"/>
      <w:bookmarkEnd w:id="0"/>
      <w:r w:rsidRPr="00BD21BC">
        <w:rPr>
          <w:rFonts w:eastAsia="MS Mincho" w:cs="Arial"/>
          <w:kern w:val="0"/>
          <w:sz w:val="24"/>
          <w:lang w:val="en-US" w:eastAsia="en-US"/>
        </w:rPr>
        <w:t>3GPP TSG-RAN</w:t>
      </w:r>
      <w:r w:rsidR="00D039A5">
        <w:rPr>
          <w:rFonts w:eastAsia="MS Mincho" w:cs="Arial"/>
          <w:kern w:val="0"/>
          <w:sz w:val="24"/>
          <w:lang w:val="en-US" w:eastAsia="en-US"/>
        </w:rPr>
        <w:t>1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C540F5" w:rsidRPr="00C540F5">
        <w:rPr>
          <w:rFonts w:eastAsia="MS Mincho" w:cs="Arial"/>
          <w:kern w:val="0"/>
          <w:sz w:val="24"/>
          <w:lang w:val="en-US" w:eastAsia="en-US"/>
        </w:rPr>
        <w:t>NB-IOT</w:t>
      </w:r>
      <w:r w:rsidR="00C540F5">
        <w:rPr>
          <w:rFonts w:eastAsia="MS Mincho" w:cs="Arial"/>
          <w:kern w:val="0"/>
          <w:sz w:val="24"/>
          <w:lang w:val="en-US" w:eastAsia="en-US"/>
        </w:rPr>
        <w:t xml:space="preserve"> Ad Hoc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Pr="00BD21BC">
        <w:rPr>
          <w:rFonts w:eastAsia="MS Mincho" w:cs="Arial"/>
          <w:kern w:val="0"/>
          <w:sz w:val="24"/>
          <w:lang w:val="en-US" w:eastAsia="en-US"/>
        </w:rPr>
        <w:t>RP-1</w:t>
      </w:r>
      <w:r w:rsidR="00C540F5">
        <w:rPr>
          <w:rFonts w:eastAsia="MS Mincho" w:cs="Arial"/>
          <w:kern w:val="0"/>
          <w:sz w:val="24"/>
          <w:lang w:val="en-US" w:eastAsia="en-US"/>
        </w:rPr>
        <w:t>6</w:t>
      </w:r>
      <w:r w:rsidR="00E44612">
        <w:rPr>
          <w:rFonts w:eastAsia="MS Mincho" w:cs="Arial"/>
          <w:kern w:val="0"/>
          <w:sz w:val="24"/>
          <w:lang w:val="en-US" w:eastAsia="en-US"/>
        </w:rPr>
        <w:t>00</w:t>
      </w:r>
      <w:r w:rsidR="00227B72">
        <w:rPr>
          <w:rFonts w:eastAsia="MS Mincho" w:cs="Arial"/>
          <w:kern w:val="0"/>
          <w:sz w:val="24"/>
          <w:lang w:val="en-US" w:eastAsia="en-US"/>
        </w:rPr>
        <w:t>90</w:t>
      </w:r>
    </w:p>
    <w:p w14:paraId="51C05F98" w14:textId="2FCA8E78" w:rsidR="00BD21BC" w:rsidRPr="00BD21BC" w:rsidRDefault="00227B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C540F5">
        <w:rPr>
          <w:rFonts w:eastAsia="MS Mincho" w:cs="Arial"/>
          <w:kern w:val="0"/>
          <w:sz w:val="24"/>
          <w:lang w:val="en-US" w:eastAsia="en-US"/>
        </w:rPr>
        <w:t>Budapest, Hungary</w:t>
      </w:r>
      <w:r>
        <w:rPr>
          <w:rFonts w:eastAsia="MS Mincho" w:cs="Arial"/>
          <w:kern w:val="0"/>
          <w:sz w:val="24"/>
          <w:lang w:val="en-US" w:eastAsia="en-US"/>
        </w:rPr>
        <w:t xml:space="preserve">, </w:t>
      </w:r>
      <w:r w:rsidR="00C540F5">
        <w:rPr>
          <w:rFonts w:eastAsia="MS Mincho" w:cs="Arial"/>
          <w:kern w:val="0"/>
          <w:sz w:val="24"/>
          <w:lang w:val="en-US" w:eastAsia="en-US"/>
        </w:rPr>
        <w:t>18</w:t>
      </w:r>
      <w:r w:rsidR="00536EC1" w:rsidRPr="00536EC1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536EC1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BD21BC" w:rsidRPr="00BD21BC">
        <w:rPr>
          <w:rFonts w:eastAsia="MS Mincho" w:cs="Arial"/>
          <w:kern w:val="0"/>
          <w:sz w:val="24"/>
          <w:lang w:val="en-US" w:eastAsia="en-US"/>
        </w:rPr>
        <w:t>–</w:t>
      </w:r>
      <w:r w:rsidR="00C540F5">
        <w:rPr>
          <w:rFonts w:eastAsia="MS Mincho" w:cs="Arial"/>
          <w:kern w:val="0"/>
          <w:sz w:val="24"/>
          <w:lang w:val="en-US" w:eastAsia="en-US"/>
        </w:rPr>
        <w:t xml:space="preserve"> 20</w:t>
      </w:r>
      <w:r w:rsidR="00536EC1" w:rsidRPr="00536EC1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536EC1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C540F5">
        <w:rPr>
          <w:rFonts w:eastAsia="MS Mincho" w:cs="Arial"/>
          <w:kern w:val="0"/>
          <w:sz w:val="24"/>
          <w:lang w:val="en-US" w:eastAsia="en-US"/>
        </w:rPr>
        <w:t>Jan 2016</w:t>
      </w:r>
    </w:p>
    <w:p w14:paraId="586D411C" w14:textId="08C86A2A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</w:p>
    <w:p w14:paraId="7267C242" w14:textId="2D4B7723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  <w:t>Ericsson</w:t>
      </w:r>
    </w:p>
    <w:p w14:paraId="11945E2F" w14:textId="6E7B83A8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227B72" w:rsidRPr="00227B72">
        <w:rPr>
          <w:rFonts w:cs="Arial"/>
          <w:b/>
          <w:sz w:val="24"/>
          <w:lang w:val="en-US" w:eastAsia="ja-JP"/>
        </w:rPr>
        <w:t>NB-</w:t>
      </w:r>
      <w:proofErr w:type="spellStart"/>
      <w:r w:rsidR="00227B72" w:rsidRPr="00227B72">
        <w:rPr>
          <w:rFonts w:cs="Arial"/>
          <w:b/>
          <w:sz w:val="24"/>
          <w:lang w:val="en-US" w:eastAsia="ja-JP"/>
        </w:rPr>
        <w:t>IoT</w:t>
      </w:r>
      <w:proofErr w:type="spellEnd"/>
      <w:r w:rsidR="00227B72" w:rsidRPr="00227B72">
        <w:rPr>
          <w:rFonts w:cs="Arial"/>
          <w:b/>
          <w:sz w:val="24"/>
          <w:lang w:val="en-US" w:eastAsia="ja-JP"/>
        </w:rPr>
        <w:t xml:space="preserve"> - System capacity comparison of 3.75 and 15 kHz subcarrier spacing for PUSCH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5276D9E7" w:rsidR="00A675B4" w:rsidRPr="008E48B7" w:rsidRDefault="00BD21BC" w:rsidP="00BD21BC">
      <w:pPr>
        <w:keepNext/>
        <w:tabs>
          <w:tab w:val="left" w:pos="2552"/>
        </w:tabs>
        <w:rPr>
          <w:lang w:val="en-US"/>
        </w:rPr>
      </w:pPr>
      <w:r w:rsidRPr="008E48B7">
        <w:rPr>
          <w:rFonts w:cs="Arial"/>
          <w:b/>
          <w:sz w:val="24"/>
          <w:lang w:val="en-US"/>
        </w:rPr>
        <w:t xml:space="preserve">Agenda Item:         </w:t>
      </w:r>
      <w:r w:rsidRPr="008E48B7">
        <w:rPr>
          <w:rFonts w:cs="Arial"/>
          <w:b/>
          <w:sz w:val="24"/>
          <w:lang w:val="en-US"/>
        </w:rPr>
        <w:tab/>
      </w:r>
      <w:r w:rsidR="00E44612" w:rsidRPr="008E48B7">
        <w:rPr>
          <w:rFonts w:cs="Arial"/>
          <w:b/>
          <w:sz w:val="24"/>
          <w:lang w:val="en-US"/>
        </w:rPr>
        <w:t>2.1.</w:t>
      </w:r>
      <w:r w:rsidR="00227B72" w:rsidRPr="008E48B7">
        <w:rPr>
          <w:rFonts w:cs="Arial"/>
          <w:b/>
          <w:sz w:val="24"/>
          <w:lang w:val="en-US"/>
        </w:rPr>
        <w:t>2.1</w:t>
      </w:r>
      <w:r w:rsidRPr="008E48B7">
        <w:rPr>
          <w:rFonts w:cs="Arial"/>
          <w:b/>
          <w:sz w:val="24"/>
          <w:lang w:val="en-US"/>
        </w:rPr>
        <w:tab/>
      </w:r>
      <w:r w:rsidR="00D13E68" w:rsidRPr="008E48B7">
        <w:rPr>
          <w:lang w:val="en-US"/>
        </w:rPr>
        <w:tab/>
      </w:r>
    </w:p>
    <w:p w14:paraId="029882AC" w14:textId="77777777" w:rsidR="006E7545" w:rsidRPr="002F34EB" w:rsidRDefault="006E7545" w:rsidP="006E7545">
      <w:pPr>
        <w:pStyle w:val="Heading1"/>
        <w:rPr>
          <w:lang w:val="en-US"/>
        </w:rPr>
      </w:pPr>
      <w:bookmarkStart w:id="1" w:name="_Ref403196273"/>
      <w:bookmarkStart w:id="2" w:name="_Ref298777854"/>
      <w:r>
        <w:rPr>
          <w:lang w:val="en-US"/>
        </w:rPr>
        <w:t>Introduction</w:t>
      </w:r>
      <w:bookmarkEnd w:id="1"/>
    </w:p>
    <w:bookmarkEnd w:id="2"/>
    <w:p w14:paraId="2FD9A74C" w14:textId="77777777" w:rsidR="006E7545" w:rsidRPr="004B486D" w:rsidRDefault="006E7545" w:rsidP="006E7545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(NB-IOT)</w:t>
      </w:r>
      <w:r>
        <w:rPr>
          <w:lang w:val="en-US"/>
        </w:rPr>
        <w:t xml:space="preserve"> was approved, see [1]</w:t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</w:p>
    <w:p w14:paraId="4BF3EBE6" w14:textId="77777777" w:rsidR="006E7545" w:rsidRPr="004B486D" w:rsidRDefault="006E7545" w:rsidP="006E7545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7ADA680" w14:textId="4FAE9507" w:rsidR="006E7545" w:rsidRPr="004B486D" w:rsidRDefault="006E7545" w:rsidP="006E7545">
      <w:pPr>
        <w:pStyle w:val="BodyText"/>
        <w:numPr>
          <w:ilvl w:val="0"/>
          <w:numId w:val="48"/>
        </w:numPr>
        <w:rPr>
          <w:lang w:val="en-US"/>
        </w:rPr>
      </w:pPr>
      <w:r>
        <w:rPr>
          <w:lang w:val="en-US"/>
        </w:rPr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0BD97570" w14:textId="246C2CB4" w:rsidR="006E7545" w:rsidRPr="004B486D" w:rsidRDefault="006E7545" w:rsidP="006E7545">
      <w:pPr>
        <w:pStyle w:val="BodyText"/>
        <w:numPr>
          <w:ilvl w:val="0"/>
          <w:numId w:val="48"/>
        </w:numPr>
        <w:rPr>
          <w:lang w:val="en-US"/>
        </w:rPr>
      </w:pPr>
      <w:r>
        <w:rPr>
          <w:lang w:val="en-US"/>
        </w:rPr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307B039C" w14:textId="64FBABDD" w:rsidR="006E7545" w:rsidRDefault="006E7545" w:rsidP="006E7545">
      <w:pPr>
        <w:pStyle w:val="BodyText"/>
        <w:numPr>
          <w:ilvl w:val="0"/>
          <w:numId w:val="48"/>
        </w:numPr>
        <w:rPr>
          <w:lang w:val="en-US"/>
        </w:rPr>
      </w:pPr>
      <w:r>
        <w:rPr>
          <w:lang w:val="en-US"/>
        </w:rPr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7A463ACE" w14:textId="77777777" w:rsidR="006E7545" w:rsidRDefault="006E7545" w:rsidP="006E7545">
      <w:pPr>
        <w:pStyle w:val="BodyText"/>
        <w:rPr>
          <w:color w:val="000000"/>
        </w:rPr>
      </w:pPr>
      <w:r>
        <w:rPr>
          <w:lang w:val="en-US"/>
        </w:rPr>
        <w:t xml:space="preserve">NB-IOT currently includes </w:t>
      </w:r>
      <w:r w:rsidRPr="00353B36">
        <w:rPr>
          <w:lang w:val="en-US"/>
        </w:rPr>
        <w:t xml:space="preserve">two </w:t>
      </w:r>
      <w:r>
        <w:rPr>
          <w:lang w:val="en-US"/>
        </w:rPr>
        <w:t xml:space="preserve">uplink </w:t>
      </w:r>
      <w:r w:rsidRPr="00353B36">
        <w:rPr>
          <w:lang w:val="en-US"/>
        </w:rPr>
        <w:t xml:space="preserve">options </w:t>
      </w:r>
      <w:r>
        <w:rPr>
          <w:lang w:val="en-US"/>
        </w:rPr>
        <w:t>under consideration,</w:t>
      </w:r>
      <w:r w:rsidRPr="00353B36">
        <w:rPr>
          <w:lang w:val="en-US"/>
        </w:rPr>
        <w:t xml:space="preserve"> </w:t>
      </w:r>
      <w:r>
        <w:rPr>
          <w:lang w:val="en-US"/>
        </w:rPr>
        <w:t>SC-</w:t>
      </w:r>
      <w:r w:rsidRPr="00353B36">
        <w:rPr>
          <w:lang w:val="en-US"/>
        </w:rPr>
        <w:t>FDMA</w:t>
      </w:r>
      <w:r>
        <w:rPr>
          <w:lang w:val="en-US"/>
        </w:rPr>
        <w:t xml:space="preserve"> with 15 kHz subcarrier spacing, and SC-FDMA with 15 kHz subcarrier spacing for multi-tone transmissions and 3.75 kHz for single-tone transmissions, and one downlink option, OFDM with 15 kHz subcarrier spacing. </w:t>
      </w:r>
      <w:r>
        <w:rPr>
          <w:color w:val="000000"/>
        </w:rPr>
        <w:t xml:space="preserve">In this contribution, a multi-cell system capacity comparison between the uplink NB-IOT design options is presented. The simulation assumptions as described in [2] are fully adopted. </w:t>
      </w:r>
    </w:p>
    <w:p w14:paraId="734AE772" w14:textId="77777777" w:rsidR="006E7545" w:rsidRPr="00F258B7" w:rsidRDefault="006E7545" w:rsidP="006E7545">
      <w:pPr>
        <w:jc w:val="left"/>
        <w:rPr>
          <w:lang w:val="en-US"/>
        </w:rPr>
      </w:pPr>
      <w:r>
        <w:t>In this paper we investigate the uplink capacity for the abovementioned options using system simulations. The question we investigate is if</w:t>
      </w:r>
      <w:r w:rsidRPr="00F258B7">
        <w:rPr>
          <w:lang w:val="en-US"/>
        </w:rPr>
        <w:t xml:space="preserve"> there </w:t>
      </w:r>
      <w:r>
        <w:rPr>
          <w:lang w:val="en-US"/>
        </w:rPr>
        <w:t xml:space="preserve">is </w:t>
      </w:r>
      <w:r w:rsidRPr="00F258B7">
        <w:rPr>
          <w:lang w:val="en-US"/>
        </w:rPr>
        <w:t xml:space="preserve">a significant additional UL capacity gain from reducing </w:t>
      </w:r>
      <w:r>
        <w:rPr>
          <w:lang w:val="en-US"/>
        </w:rPr>
        <w:t xml:space="preserve">the </w:t>
      </w:r>
      <w:r w:rsidRPr="00F258B7">
        <w:rPr>
          <w:lang w:val="en-US"/>
        </w:rPr>
        <w:t>signal bandwidth in the</w:t>
      </w:r>
      <w:r>
        <w:rPr>
          <w:lang w:val="en-US"/>
        </w:rPr>
        <w:t xml:space="preserve"> uplink from 15 kHz to 3.75 kHz.</w:t>
      </w:r>
    </w:p>
    <w:p w14:paraId="1B9DEEF0" w14:textId="77777777" w:rsidR="006E7545" w:rsidRDefault="006E7545" w:rsidP="006E7545">
      <w:pPr>
        <w:pStyle w:val="Heading1"/>
        <w:rPr>
          <w:lang w:val="en-US"/>
        </w:rPr>
      </w:pPr>
      <w:bookmarkStart w:id="3" w:name="_Ref414887926"/>
      <w:r>
        <w:rPr>
          <w:lang w:val="en-US"/>
        </w:rPr>
        <w:t>Discussion</w:t>
      </w:r>
      <w:bookmarkEnd w:id="3"/>
    </w:p>
    <w:p w14:paraId="14E41DAB" w14:textId="5E64AA69" w:rsidR="006E7545" w:rsidRPr="00B659C6" w:rsidRDefault="006E7545" w:rsidP="006E7545">
      <w:pPr>
        <w:rPr>
          <w:lang w:val="en-US"/>
        </w:rPr>
      </w:pPr>
      <w:r w:rsidRPr="00B659C6">
        <w:rPr>
          <w:lang w:val="en-US"/>
        </w:rPr>
        <w:t xml:space="preserve">For UEs in bad coverage, </w:t>
      </w:r>
      <w:r w:rsidR="00723D77">
        <w:rPr>
          <w:lang w:val="en-US"/>
        </w:rPr>
        <w:t xml:space="preserve">the large amount of repetitions means that </w:t>
      </w:r>
      <w:r w:rsidRPr="00B659C6">
        <w:rPr>
          <w:lang w:val="en-US"/>
        </w:rPr>
        <w:t>the signal bandwidth does</w:t>
      </w:r>
      <w:r>
        <w:rPr>
          <w:lang w:val="en-US"/>
        </w:rPr>
        <w:t xml:space="preserve"> </w:t>
      </w:r>
      <w:r w:rsidRPr="00B659C6">
        <w:rPr>
          <w:lang w:val="en-US"/>
        </w:rPr>
        <w:t>n</w:t>
      </w:r>
      <w:r>
        <w:rPr>
          <w:lang w:val="en-US"/>
        </w:rPr>
        <w:t>o</w:t>
      </w:r>
      <w:r w:rsidRPr="00B659C6">
        <w:rPr>
          <w:lang w:val="en-US"/>
        </w:rPr>
        <w:t>t affect the data rate much</w:t>
      </w:r>
      <w:r w:rsidR="00723D77">
        <w:rPr>
          <w:lang w:val="en-US"/>
        </w:rPr>
        <w:t xml:space="preserve"> and </w:t>
      </w:r>
      <w:r w:rsidRPr="00B659C6">
        <w:rPr>
          <w:lang w:val="en-US"/>
        </w:rPr>
        <w:t>a smaller signal transmission bandwidth benefits</w:t>
      </w:r>
      <w:r>
        <w:rPr>
          <w:lang w:val="en-US"/>
        </w:rPr>
        <w:t xml:space="preserve"> </w:t>
      </w:r>
      <w:r w:rsidRPr="00B659C6">
        <w:rPr>
          <w:lang w:val="en-US"/>
        </w:rPr>
        <w:t>capacity</w:t>
      </w:r>
      <w:r>
        <w:rPr>
          <w:lang w:val="en-US"/>
        </w:rPr>
        <w:t>. That is, i</w:t>
      </w:r>
      <w:r w:rsidRPr="00B659C6">
        <w:rPr>
          <w:lang w:val="en-US"/>
        </w:rPr>
        <w:t xml:space="preserve">t allows multiplexing more users in the uplink without affecting </w:t>
      </w:r>
      <w:r w:rsidR="00723D77">
        <w:rPr>
          <w:lang w:val="en-US"/>
        </w:rPr>
        <w:t xml:space="preserve">the </w:t>
      </w:r>
      <w:r w:rsidRPr="00B659C6">
        <w:rPr>
          <w:lang w:val="en-US"/>
        </w:rPr>
        <w:t>link performance much</w:t>
      </w:r>
      <w:r>
        <w:rPr>
          <w:lang w:val="en-US"/>
        </w:rPr>
        <w:t xml:space="preserve"> and </w:t>
      </w:r>
      <w:r w:rsidR="00723D77">
        <w:rPr>
          <w:lang w:val="en-US"/>
        </w:rPr>
        <w:t xml:space="preserve">the </w:t>
      </w:r>
      <w:r>
        <w:rPr>
          <w:lang w:val="en-US"/>
        </w:rPr>
        <w:t>l</w:t>
      </w:r>
      <w:r w:rsidRPr="00B659C6">
        <w:rPr>
          <w:lang w:val="en-US"/>
        </w:rPr>
        <w:t xml:space="preserve">ink performance is limited by </w:t>
      </w:r>
      <w:r w:rsidR="00723D77">
        <w:rPr>
          <w:lang w:val="en-US"/>
        </w:rPr>
        <w:t xml:space="preserve">the </w:t>
      </w:r>
      <w:r w:rsidRPr="00B659C6">
        <w:rPr>
          <w:lang w:val="en-US"/>
        </w:rPr>
        <w:t>UE power</w:t>
      </w:r>
      <w:r w:rsidR="00723D77">
        <w:rPr>
          <w:lang w:val="en-US"/>
        </w:rPr>
        <w:t xml:space="preserve"> and</w:t>
      </w:r>
      <w:r w:rsidR="00723D77" w:rsidRPr="00B659C6">
        <w:rPr>
          <w:lang w:val="en-US"/>
        </w:rPr>
        <w:t xml:space="preserve"> </w:t>
      </w:r>
      <w:r w:rsidRPr="00B659C6">
        <w:rPr>
          <w:lang w:val="en-US"/>
        </w:rPr>
        <w:t xml:space="preserve">not </w:t>
      </w:r>
      <w:r w:rsidR="00723D77">
        <w:rPr>
          <w:lang w:val="en-US"/>
        </w:rPr>
        <w:t xml:space="preserve">the </w:t>
      </w:r>
      <w:r w:rsidRPr="00B659C6">
        <w:rPr>
          <w:lang w:val="en-US"/>
        </w:rPr>
        <w:t>bandwidth</w:t>
      </w:r>
      <w:r>
        <w:rPr>
          <w:lang w:val="en-US"/>
        </w:rPr>
        <w:t xml:space="preserve">. </w:t>
      </w:r>
      <w:r w:rsidRPr="00B659C6">
        <w:rPr>
          <w:lang w:val="en-US"/>
        </w:rPr>
        <w:t xml:space="preserve">However, for UEs in good coverage there is limited capacity gain with </w:t>
      </w:r>
      <w:r>
        <w:rPr>
          <w:lang w:val="en-US"/>
        </w:rPr>
        <w:t xml:space="preserve">a </w:t>
      </w:r>
      <w:r w:rsidRPr="00B659C6">
        <w:rPr>
          <w:lang w:val="en-US"/>
        </w:rPr>
        <w:t>narrower signal bandwidth</w:t>
      </w:r>
      <w:r>
        <w:rPr>
          <w:lang w:val="en-US"/>
        </w:rPr>
        <w:t xml:space="preserve"> since l</w:t>
      </w:r>
      <w:r w:rsidRPr="00B659C6">
        <w:rPr>
          <w:lang w:val="en-US"/>
        </w:rPr>
        <w:t>ink performance also depends on bandwidth</w:t>
      </w:r>
      <w:r>
        <w:rPr>
          <w:lang w:val="en-US"/>
        </w:rPr>
        <w:t>.</w:t>
      </w:r>
    </w:p>
    <w:p w14:paraId="0E52F09B" w14:textId="56EA79C6" w:rsidR="006E7545" w:rsidRDefault="006E7545" w:rsidP="006E7545">
      <w:pPr>
        <w:rPr>
          <w:lang w:val="en-US"/>
        </w:rPr>
      </w:pPr>
      <w:r>
        <w:t>The question we investigate is if</w:t>
      </w:r>
      <w:r w:rsidRPr="00F258B7">
        <w:rPr>
          <w:lang w:val="en-US"/>
        </w:rPr>
        <w:t xml:space="preserve"> there </w:t>
      </w:r>
      <w:r>
        <w:rPr>
          <w:lang w:val="en-US"/>
        </w:rPr>
        <w:t xml:space="preserve">is </w:t>
      </w:r>
      <w:r w:rsidRPr="00F258B7">
        <w:rPr>
          <w:lang w:val="en-US"/>
        </w:rPr>
        <w:t xml:space="preserve">a significant additional UL capacity gain from reducing </w:t>
      </w:r>
      <w:r>
        <w:rPr>
          <w:lang w:val="en-US"/>
        </w:rPr>
        <w:t xml:space="preserve">the </w:t>
      </w:r>
      <w:r w:rsidRPr="00F258B7">
        <w:rPr>
          <w:lang w:val="en-US"/>
        </w:rPr>
        <w:t>signal bandwidth in the uplink from 15 kHz to 3.75 kHz</w:t>
      </w:r>
      <w:r w:rsidR="00723D77">
        <w:rPr>
          <w:lang w:val="en-US"/>
        </w:rPr>
        <w:t>.</w:t>
      </w:r>
      <w:r>
        <w:rPr>
          <w:lang w:val="en-US"/>
        </w:rPr>
        <w:t xml:space="preserve"> Another way of formulating the question is</w:t>
      </w:r>
      <w:r w:rsidRPr="00F258B7">
        <w:rPr>
          <w:lang w:val="en-US"/>
        </w:rPr>
        <w:t>: How big fraction of UEs has a coverage situation where going from 15 kHz to 3.75 kHz signal transmission would save significant amount of UL radio resources?</w:t>
      </w:r>
    </w:p>
    <w:p w14:paraId="1EE528BA" w14:textId="7C4E95E4" w:rsidR="006E7545" w:rsidRDefault="006E7545" w:rsidP="006E7545">
      <w:pPr>
        <w:rPr>
          <w:lang w:val="en-US"/>
        </w:rPr>
      </w:pPr>
      <w:r>
        <w:rPr>
          <w:lang w:val="en-US"/>
        </w:rPr>
        <w:t>Below we provide results from s</w:t>
      </w:r>
      <w:r w:rsidRPr="00F258B7">
        <w:rPr>
          <w:lang w:val="en-US"/>
        </w:rPr>
        <w:t xml:space="preserve">ystem simulations </w:t>
      </w:r>
      <w:r>
        <w:rPr>
          <w:lang w:val="en-US"/>
        </w:rPr>
        <w:t xml:space="preserve">showing </w:t>
      </w:r>
      <w:r w:rsidRPr="00F258B7">
        <w:rPr>
          <w:lang w:val="en-US"/>
        </w:rPr>
        <w:t xml:space="preserve">the impact of </w:t>
      </w:r>
      <w:r w:rsidR="00723D77">
        <w:rPr>
          <w:lang w:val="en-US"/>
        </w:rPr>
        <w:t xml:space="preserve">the </w:t>
      </w:r>
      <w:r w:rsidRPr="00F258B7">
        <w:rPr>
          <w:lang w:val="en-US"/>
        </w:rPr>
        <w:t>UL subcarrier spacing</w:t>
      </w:r>
      <w:r>
        <w:rPr>
          <w:lang w:val="en-US"/>
        </w:rPr>
        <w:t xml:space="preserve">. Two different scenarios are investigated, namely a scenario with stand-alone NB spectrum and a scenario with in-band allocation of spectrum for NB.  Results are presented as the </w:t>
      </w:r>
      <w:r w:rsidRPr="00F258B7">
        <w:rPr>
          <w:lang w:val="en-US"/>
        </w:rPr>
        <w:t>1st (worst) percentile UE uplink throughput vs</w:t>
      </w:r>
      <w:r>
        <w:rPr>
          <w:lang w:val="en-US"/>
        </w:rPr>
        <w:t xml:space="preserve"> system uplink load.</w:t>
      </w:r>
    </w:p>
    <w:p w14:paraId="585826CF" w14:textId="77777777" w:rsidR="006E7545" w:rsidRDefault="006E7545" w:rsidP="006E7545">
      <w:pPr>
        <w:pStyle w:val="Heading2"/>
        <w:rPr>
          <w:lang w:eastAsia="ja-JP"/>
        </w:rPr>
      </w:pPr>
      <w:r w:rsidRPr="006E7545">
        <w:t>Multiple</w:t>
      </w:r>
      <w:r>
        <w:rPr>
          <w:lang w:val="en-US"/>
        </w:rPr>
        <w:t xml:space="preserve"> tone</w:t>
      </w:r>
    </w:p>
    <w:p w14:paraId="48D5B8BA" w14:textId="77777777" w:rsidR="006E7545" w:rsidRPr="00F258B7" w:rsidRDefault="006E7545" w:rsidP="006E7545">
      <w:pPr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_Ref438130213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we present the </w:t>
      </w:r>
      <w:r w:rsidRPr="00F258B7">
        <w:rPr>
          <w:lang w:val="en-US"/>
        </w:rPr>
        <w:t>toughest GERAN scenario, with the most UEs in bad coverage</w:t>
      </w:r>
      <w:r>
        <w:rPr>
          <w:lang w:val="en-US"/>
        </w:rPr>
        <w:t>. This is G</w:t>
      </w:r>
      <w:r w:rsidRPr="00F258B7">
        <w:rPr>
          <w:lang w:val="en-US"/>
        </w:rPr>
        <w:t>ERAN SI assumption Scenario 2, BPL correlation 0.75</w:t>
      </w:r>
      <w:r>
        <w:rPr>
          <w:lang w:val="en-US"/>
        </w:rPr>
        <w:t xml:space="preserve">. </w:t>
      </w:r>
    </w:p>
    <w:p w14:paraId="4A1C9621" w14:textId="4F33CA5F" w:rsidR="006E7545" w:rsidRDefault="006E7545" w:rsidP="006E7545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6D016C77" wp14:editId="2D952EDE">
            <wp:extent cx="4798695" cy="3599180"/>
            <wp:effectExtent l="0" t="0" r="1905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852AB" w14:textId="77777777" w:rsidR="006E7545" w:rsidRDefault="006E7545" w:rsidP="006E7545">
      <w:pPr>
        <w:pStyle w:val="Caption"/>
        <w:jc w:val="both"/>
        <w:rPr>
          <w:lang w:val="en-US"/>
        </w:rPr>
      </w:pPr>
      <w:bookmarkStart w:id="4" w:name="_Ref438130213"/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User throughput vs. load for the 1</w:t>
      </w:r>
      <w:r w:rsidRPr="000930DB">
        <w:rPr>
          <w:vertAlign w:val="superscript"/>
        </w:rPr>
        <w:t>st</w:t>
      </w:r>
      <w:r>
        <w:t xml:space="preserve"> percentile worst users; 15 kHz sub-carrier spacing.</w:t>
      </w:r>
    </w:p>
    <w:p w14:paraId="4B484C6D" w14:textId="77777777" w:rsidR="006E7545" w:rsidRDefault="006E7545" w:rsidP="006E754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_Ref438130213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depicts the user throughput at various loads for 15 KHz sub-carrier spacing, respectively, for the abovementioned scenario. </w:t>
      </w:r>
      <w:r w:rsidRPr="00F258B7">
        <w:rPr>
          <w:lang w:val="en-US"/>
        </w:rPr>
        <w:t>It is only the UE power that limits the allocation of subcarriers in this case</w:t>
      </w:r>
      <w:r>
        <w:rPr>
          <w:lang w:val="en-US"/>
        </w:rPr>
        <w:t>.</w:t>
      </w:r>
    </w:p>
    <w:p w14:paraId="2FA8D76D" w14:textId="77777777" w:rsidR="006E7545" w:rsidRDefault="006E7545" w:rsidP="006E7545">
      <w:pPr>
        <w:numPr>
          <w:ilvl w:val="0"/>
          <w:numId w:val="42"/>
        </w:numPr>
        <w:ind w:left="1417" w:hanging="1417"/>
        <w:rPr>
          <w:b/>
          <w:lang w:val="en-US"/>
        </w:rPr>
      </w:pPr>
      <w:bookmarkStart w:id="5" w:name="_Ref414887927"/>
      <w:r>
        <w:rPr>
          <w:b/>
          <w:lang w:val="en-US"/>
        </w:rPr>
        <w:t xml:space="preserve">Simulations show that </w:t>
      </w:r>
      <w:r w:rsidRPr="00161C20">
        <w:rPr>
          <w:b/>
          <w:lang w:val="en-US"/>
        </w:rPr>
        <w:t>15 kHz can support sufficiently large number of devices per cell</w:t>
      </w:r>
      <w:r>
        <w:rPr>
          <w:b/>
          <w:lang w:val="en-US"/>
        </w:rPr>
        <w:t>.</w:t>
      </w:r>
      <w:bookmarkEnd w:id="5"/>
    </w:p>
    <w:p w14:paraId="7B5D44AA" w14:textId="77777777" w:rsidR="006E7545" w:rsidRDefault="006E7545" w:rsidP="006E7545">
      <w:pPr>
        <w:rPr>
          <w:lang w:val="en-US"/>
        </w:rPr>
      </w:pPr>
      <w:r w:rsidRPr="00673E4C">
        <w:rPr>
          <w:lang w:val="en-US"/>
        </w:rPr>
        <w:t xml:space="preserve">To test the sensitivity of this </w:t>
      </w:r>
      <w:r>
        <w:rPr>
          <w:lang w:val="en-US"/>
        </w:rPr>
        <w:t>observation</w:t>
      </w:r>
      <w:r w:rsidRPr="00673E4C">
        <w:rPr>
          <w:lang w:val="en-US"/>
        </w:rPr>
        <w:t xml:space="preserve"> the number of UEs in bad coverage is increased by adding an extra </w:t>
      </w:r>
      <w:r>
        <w:rPr>
          <w:lang w:val="en-US"/>
        </w:rPr>
        <w:t xml:space="preserve">loss of </w:t>
      </w:r>
      <w:r w:rsidRPr="00673E4C">
        <w:rPr>
          <w:lang w:val="en-US"/>
        </w:rPr>
        <w:t>5</w:t>
      </w:r>
      <w:r>
        <w:rPr>
          <w:lang w:val="en-US"/>
        </w:rPr>
        <w:t xml:space="preserve"> or</w:t>
      </w:r>
      <w:r w:rsidRPr="00673E4C">
        <w:rPr>
          <w:lang w:val="en-US"/>
        </w:rPr>
        <w:t xml:space="preserve"> 10</w:t>
      </w:r>
      <w:r>
        <w:rPr>
          <w:lang w:val="en-US"/>
        </w:rPr>
        <w:t xml:space="preserve"> dB, respectively,</w:t>
      </w:r>
      <w:r w:rsidRPr="00673E4C">
        <w:rPr>
          <w:lang w:val="en-US"/>
        </w:rPr>
        <w:t xml:space="preserve"> to the coupling loss for each link/UE</w:t>
      </w:r>
      <w:r>
        <w:rPr>
          <w:lang w:val="en-US"/>
        </w:rPr>
        <w:t xml:space="preserve">. See simulation results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_Ref438129995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4202651" w14:textId="0CF2D629" w:rsidR="006E7545" w:rsidRDefault="006E7545" w:rsidP="006E7545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6AAB0F1C" wp14:editId="49F9BDCA">
            <wp:extent cx="4798695" cy="3599180"/>
            <wp:effectExtent l="0" t="0" r="1905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AD54F" w14:textId="77777777" w:rsidR="006E7545" w:rsidRDefault="006E7545" w:rsidP="006E7545">
      <w:pPr>
        <w:pStyle w:val="Caption"/>
        <w:jc w:val="both"/>
      </w:pPr>
      <w:bookmarkStart w:id="6" w:name="_Ref438129995"/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: Sensitivity analysis of GERAN scenario with </w:t>
      </w:r>
      <w:proofErr w:type="gramStart"/>
      <w:r>
        <w:t>15kHz</w:t>
      </w:r>
      <w:proofErr w:type="gramEnd"/>
      <w:r>
        <w:t xml:space="preserve"> sub-carrier spacing. </w:t>
      </w:r>
      <w:proofErr w:type="gramStart"/>
      <w:r>
        <w:t>User throughput vs. load for the 1</w:t>
      </w:r>
      <w:r w:rsidRPr="000930DB">
        <w:rPr>
          <w:vertAlign w:val="superscript"/>
        </w:rPr>
        <w:t>st</w:t>
      </w:r>
      <w:r>
        <w:t xml:space="preserve"> percentile worst users; 15 kHz bandwidth with additional users in bad coverage.</w:t>
      </w:r>
      <w:proofErr w:type="gramEnd"/>
    </w:p>
    <w:p w14:paraId="3D85F00C" w14:textId="6DD93A6B" w:rsidR="006E7545" w:rsidRPr="00673E4C" w:rsidRDefault="006E7545" w:rsidP="006E7545">
      <w:pPr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_Ref438129995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shows the user throughput vs load for a system with various levels of additional loss (i.e. poorer coverage). </w:t>
      </w:r>
      <w:r w:rsidRPr="00673E4C">
        <w:rPr>
          <w:lang w:val="en-US"/>
        </w:rPr>
        <w:t xml:space="preserve">For 5 and 10 dB extra loss, the capacity difference at </w:t>
      </w:r>
      <w:r>
        <w:rPr>
          <w:lang w:val="en-US"/>
        </w:rPr>
        <w:t xml:space="preserve">the </w:t>
      </w:r>
      <w:r w:rsidRPr="00673E4C">
        <w:rPr>
          <w:lang w:val="en-US"/>
        </w:rPr>
        <w:t xml:space="preserve">1st percentile UE throughput around 200 bps (~target for NB-IOT) </w:t>
      </w:r>
      <w:r w:rsidRPr="00723D77">
        <w:rPr>
          <w:lang w:val="en-US"/>
        </w:rPr>
        <w:t>is 10% and 28%, respectively</w:t>
      </w:r>
      <w:r>
        <w:rPr>
          <w:lang w:val="en-US"/>
        </w:rPr>
        <w:t>.</w:t>
      </w:r>
    </w:p>
    <w:p w14:paraId="5656C69D" w14:textId="77777777" w:rsidR="006E7545" w:rsidRDefault="006E7545" w:rsidP="006E7545">
      <w:pPr>
        <w:numPr>
          <w:ilvl w:val="0"/>
          <w:numId w:val="42"/>
        </w:numPr>
        <w:ind w:left="1417" w:hanging="1417"/>
        <w:rPr>
          <w:b/>
          <w:lang w:val="en-US"/>
        </w:rPr>
      </w:pPr>
      <w:bookmarkStart w:id="7" w:name="_Ref438219077"/>
      <w:r>
        <w:rPr>
          <w:b/>
          <w:lang w:val="en-US"/>
        </w:rPr>
        <w:t>The previous observation holds even when coverage is very poor.</w:t>
      </w:r>
      <w:bookmarkEnd w:id="7"/>
    </w:p>
    <w:p w14:paraId="1C87D4C8" w14:textId="0BCD7989" w:rsidR="006E7545" w:rsidRPr="006E7545" w:rsidRDefault="006E7545" w:rsidP="006E7545">
      <w:pPr>
        <w:pStyle w:val="Heading2"/>
        <w:rPr>
          <w:lang w:val="en-US"/>
        </w:rPr>
      </w:pPr>
      <w:bookmarkStart w:id="8" w:name="_Ref414887928"/>
      <w:r>
        <w:rPr>
          <w:lang w:val="en-US"/>
        </w:rPr>
        <w:t>Single tone</w:t>
      </w:r>
    </w:p>
    <w:p w14:paraId="1F3F186C" w14:textId="77777777" w:rsidR="006E7545" w:rsidRPr="00E8158A" w:rsidRDefault="006E7545" w:rsidP="006E7545">
      <w:pPr>
        <w:keepNext/>
        <w:jc w:val="left"/>
        <w:rPr>
          <w:lang w:val="en-US"/>
        </w:rPr>
      </w:pPr>
      <w:r w:rsidRPr="00E8158A">
        <w:rPr>
          <w:lang w:val="en-US"/>
        </w:rPr>
        <w:t xml:space="preserve">For the single-tone case, there can be two cases (i) Standalone operation with only 15/3.75 kHz single-tone and no guard band, and (ii) Multiplexed 15 kHz and 3.75 kHz with guard subcarriers – either standalone or </w:t>
      </w:r>
      <w:proofErr w:type="spellStart"/>
      <w:r w:rsidRPr="00E8158A">
        <w:rPr>
          <w:lang w:val="en-US"/>
        </w:rPr>
        <w:t>inband</w:t>
      </w:r>
      <w:proofErr w:type="spellEnd"/>
      <w:r w:rsidRPr="00E8158A">
        <w:rPr>
          <w:lang w:val="en-US"/>
        </w:rPr>
        <w:t xml:space="preserve"> operation. </w:t>
      </w:r>
    </w:p>
    <w:p w14:paraId="5298B695" w14:textId="06D0F014" w:rsidR="006E7545" w:rsidRDefault="006E7545" w:rsidP="006E7545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3F6F8501" wp14:editId="40FEB776">
            <wp:extent cx="5640070" cy="4257675"/>
            <wp:effectExtent l="0" t="0" r="0" b="9525"/>
            <wp:docPr id="9" name="Picture 9" descr="throughput_minSnr0_inband_singleCarrier_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hroughput_minSnr0_inband_singleCarrier_v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159AE" w14:textId="77777777" w:rsidR="006E7545" w:rsidRDefault="006E7545" w:rsidP="006E7545">
      <w:pPr>
        <w:pStyle w:val="Caption"/>
      </w:pPr>
      <w:bookmarkStart w:id="9" w:name="_Ref438218879"/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>: User throughput vs. load for the 1</w:t>
      </w:r>
      <w:r w:rsidRPr="000930DB">
        <w:rPr>
          <w:vertAlign w:val="superscript"/>
        </w:rPr>
        <w:t>st</w:t>
      </w:r>
      <w:r>
        <w:t xml:space="preserve"> percentile worst users with m</w:t>
      </w:r>
      <w:proofErr w:type="spellStart"/>
      <w:r w:rsidRPr="00E8158A">
        <w:rPr>
          <w:lang w:val="en-US"/>
        </w:rPr>
        <w:t>ultiplexed</w:t>
      </w:r>
      <w:proofErr w:type="spellEnd"/>
      <w:r w:rsidRPr="00E8158A">
        <w:rPr>
          <w:lang w:val="en-US"/>
        </w:rPr>
        <w:t xml:space="preserve"> 15 kHz and 3.75 kHz with guard subcarriers</w:t>
      </w:r>
      <w:r>
        <w:t xml:space="preserve">. </w:t>
      </w:r>
    </w:p>
    <w:p w14:paraId="13FA431A" w14:textId="19CC4B21" w:rsidR="006E7545" w:rsidRPr="00E4256B" w:rsidRDefault="006E7545" w:rsidP="006E7545">
      <w:r>
        <w:fldChar w:fldCharType="begin"/>
      </w:r>
      <w:r>
        <w:instrText xml:space="preserve"> REF _Ref438218879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results of simulations for case (ii) with 3.75 kHz single carrier both as a single 1 subcarrier and a multiple of </w:t>
      </w:r>
      <w:proofErr w:type="gramStart"/>
      <w:r>
        <w:t>15kHz</w:t>
      </w:r>
      <w:proofErr w:type="gramEnd"/>
      <w:r>
        <w:t xml:space="preserve"> subcarriers (equal to four 3.75kHz subcarriers). </w:t>
      </w:r>
      <w:r w:rsidRPr="00E8158A">
        <w:rPr>
          <w:lang w:val="en-US"/>
        </w:rPr>
        <w:t>With this setup</w:t>
      </w:r>
      <w:r w:rsidR="00723D77">
        <w:rPr>
          <w:lang w:val="en-US"/>
        </w:rPr>
        <w:t>,</w:t>
      </w:r>
      <w:r w:rsidRPr="00E8158A">
        <w:rPr>
          <w:lang w:val="en-US"/>
        </w:rPr>
        <w:t xml:space="preserve"> </w:t>
      </w:r>
      <w:proofErr w:type="gramStart"/>
      <w:r w:rsidRPr="00E8158A">
        <w:rPr>
          <w:lang w:val="en-US"/>
        </w:rPr>
        <w:t>15kHz</w:t>
      </w:r>
      <w:proofErr w:type="gramEnd"/>
      <w:r w:rsidRPr="00E8158A">
        <w:rPr>
          <w:lang w:val="en-US"/>
        </w:rPr>
        <w:t xml:space="preserve"> provides much higher throughput than 3.75kHz</w:t>
      </w:r>
      <w:r>
        <w:rPr>
          <w:lang w:val="en-US"/>
        </w:rPr>
        <w:t xml:space="preserve"> and</w:t>
      </w:r>
      <w:r w:rsidRPr="00E8158A">
        <w:rPr>
          <w:lang w:val="en-US"/>
        </w:rPr>
        <w:t xml:space="preserve"> slightly higher capacity </w:t>
      </w:r>
      <w:r>
        <w:rPr>
          <w:lang w:val="en-US"/>
        </w:rPr>
        <w:t xml:space="preserve">than </w:t>
      </w:r>
      <w:r w:rsidRPr="00E8158A">
        <w:rPr>
          <w:lang w:val="en-US"/>
        </w:rPr>
        <w:t>for the 3.75kHz-</w:t>
      </w:r>
      <w:r>
        <w:rPr>
          <w:lang w:val="en-US"/>
        </w:rPr>
        <w:t>case</w:t>
      </w:r>
      <w:r w:rsidRPr="00E8158A">
        <w:rPr>
          <w:lang w:val="en-US"/>
        </w:rPr>
        <w:t>.</w:t>
      </w:r>
      <w:r>
        <w:rPr>
          <w:lang w:val="en-US"/>
        </w:rPr>
        <w:t xml:space="preserve"> Note that a guard band of 20 kHz is considered since there is a mix of 3.75 kHz and 15 kHz subcarriers.</w:t>
      </w:r>
    </w:p>
    <w:p w14:paraId="02ECFC97" w14:textId="77777777" w:rsidR="006E7545" w:rsidRPr="008443E7" w:rsidRDefault="006E7545" w:rsidP="006E7545">
      <w:pPr>
        <w:numPr>
          <w:ilvl w:val="0"/>
          <w:numId w:val="42"/>
        </w:numPr>
        <w:ind w:left="1417" w:hanging="1417"/>
        <w:rPr>
          <w:b/>
          <w:lang w:val="en-US"/>
        </w:rPr>
      </w:pPr>
      <w:proofErr w:type="gramStart"/>
      <w:r w:rsidRPr="00E66AF1">
        <w:rPr>
          <w:b/>
          <w:lang w:val="en-US"/>
        </w:rPr>
        <w:t>15kHz</w:t>
      </w:r>
      <w:proofErr w:type="gramEnd"/>
      <w:r w:rsidRPr="00E66AF1">
        <w:rPr>
          <w:b/>
          <w:lang w:val="en-US"/>
        </w:rPr>
        <w:t xml:space="preserve"> provides much higher throughput than 3.75kHz and slightly higher capacity than for the 3.75kHz-case</w:t>
      </w:r>
      <w:r>
        <w:rPr>
          <w:b/>
          <w:lang w:val="en-US"/>
        </w:rPr>
        <w:t>.</w:t>
      </w:r>
    </w:p>
    <w:p w14:paraId="58A2CC8D" w14:textId="0665C09E" w:rsidR="006E7545" w:rsidRDefault="006E7545" w:rsidP="006E7545">
      <w:pPr>
        <w:jc w:val="center"/>
        <w:rPr>
          <w:color w:val="1F497D"/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344E5D6B" wp14:editId="354DD80A">
            <wp:extent cx="4798695" cy="3599180"/>
            <wp:effectExtent l="0" t="0" r="1905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E10B1" w14:textId="77777777" w:rsidR="006E7545" w:rsidRDefault="006E7545" w:rsidP="006E7545">
      <w:pPr>
        <w:pStyle w:val="Caption"/>
      </w:pPr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Sensitivity analysis of scenario 2 for case (ii) with additional users in bad coverage.</w:t>
      </w:r>
    </w:p>
    <w:p w14:paraId="7D23547A" w14:textId="77777777" w:rsidR="006E7545" w:rsidRPr="00E8158A" w:rsidRDefault="006E7545" w:rsidP="006E7545">
      <w:pPr>
        <w:rPr>
          <w:lang w:val="en-US"/>
        </w:rPr>
      </w:pPr>
      <w:r>
        <w:rPr>
          <w:lang w:val="en-US"/>
        </w:rPr>
        <w:t>Figure 4</w:t>
      </w:r>
      <w:r w:rsidRPr="00E8158A">
        <w:rPr>
          <w:lang w:val="en-US"/>
        </w:rPr>
        <w:t xml:space="preserve"> shows a </w:t>
      </w:r>
      <w:r>
        <w:rPr>
          <w:lang w:val="en-US"/>
        </w:rPr>
        <w:t xml:space="preserve">sensitivity analysis of case (ii) </w:t>
      </w:r>
      <w:r>
        <w:t xml:space="preserve">with 3.75 kHz single carrier both as a single 1 subcarrier and a multiple of </w:t>
      </w:r>
      <w:proofErr w:type="gramStart"/>
      <w:r>
        <w:t>15kHz</w:t>
      </w:r>
      <w:proofErr w:type="gramEnd"/>
      <w:r>
        <w:t xml:space="preserve"> subcarriers</w:t>
      </w:r>
      <w:r>
        <w:rPr>
          <w:lang w:val="en-US"/>
        </w:rPr>
        <w:t>. I</w:t>
      </w:r>
      <w:r w:rsidRPr="00E8158A">
        <w:rPr>
          <w:lang w:val="en-US"/>
        </w:rPr>
        <w:t>t appears that 3.</w:t>
      </w:r>
      <w:r>
        <w:rPr>
          <w:lang w:val="en-US"/>
        </w:rPr>
        <w:t xml:space="preserve">75 kHz leads to </w:t>
      </w:r>
      <w:r w:rsidRPr="00E8158A">
        <w:rPr>
          <w:lang w:val="en-US"/>
        </w:rPr>
        <w:t>a small loss/gain in case</w:t>
      </w:r>
      <w:r>
        <w:rPr>
          <w:lang w:val="en-US"/>
        </w:rPr>
        <w:t xml:space="preserve"> of multi-</w:t>
      </w:r>
      <w:proofErr w:type="spellStart"/>
      <w:r>
        <w:rPr>
          <w:lang w:val="en-US"/>
        </w:rPr>
        <w:t>plexed</w:t>
      </w:r>
      <w:proofErr w:type="spellEnd"/>
      <w:r>
        <w:rPr>
          <w:lang w:val="en-US"/>
        </w:rPr>
        <w:t xml:space="preserve"> 15 and 3.75 kHz with guard bands</w:t>
      </w:r>
      <w:r w:rsidRPr="00E8158A">
        <w:rPr>
          <w:lang w:val="en-US"/>
        </w:rPr>
        <w:t>, depending on the extra path loss</w:t>
      </w:r>
      <w:r>
        <w:rPr>
          <w:lang w:val="en-US"/>
        </w:rPr>
        <w:t>.</w:t>
      </w:r>
    </w:p>
    <w:p w14:paraId="4F6CC807" w14:textId="77777777" w:rsidR="006E7545" w:rsidRPr="008443E7" w:rsidRDefault="006E7545" w:rsidP="006E7545">
      <w:pPr>
        <w:numPr>
          <w:ilvl w:val="0"/>
          <w:numId w:val="42"/>
        </w:numPr>
        <w:ind w:left="1417" w:hanging="1417"/>
        <w:rPr>
          <w:b/>
          <w:lang w:val="en-US"/>
        </w:rPr>
      </w:pPr>
      <w:r>
        <w:rPr>
          <w:b/>
          <w:lang w:val="en-US"/>
        </w:rPr>
        <w:t>Sensitivity analysis confirms previous results.</w:t>
      </w:r>
    </w:p>
    <w:p w14:paraId="1B428A30" w14:textId="77777777" w:rsidR="006E7545" w:rsidRPr="00723D77" w:rsidRDefault="006E7545" w:rsidP="006E7545">
      <w:pPr>
        <w:rPr>
          <w:lang w:val="en-US"/>
        </w:rPr>
      </w:pPr>
    </w:p>
    <w:p w14:paraId="62BC1E84" w14:textId="77288E4E" w:rsidR="006E7545" w:rsidRDefault="006E7545" w:rsidP="006E7545">
      <w:pPr>
        <w:keepNext/>
      </w:pPr>
      <w:r>
        <w:rPr>
          <w:noProof/>
          <w:color w:val="1F497D"/>
          <w:lang w:val="en-US" w:eastAsia="en-US"/>
        </w:rPr>
        <w:lastRenderedPageBreak/>
        <w:drawing>
          <wp:inline distT="0" distB="0" distL="0" distR="0" wp14:anchorId="3D62947C" wp14:editId="2D3220FE">
            <wp:extent cx="5332730" cy="4001135"/>
            <wp:effectExtent l="0" t="0" r="1270" b="0"/>
            <wp:docPr id="7" name="Picture 7" descr="cid:image001.png@01D14CC3.6DF4F9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14CC3.6DF4F9C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87F1" w14:textId="59F34F68" w:rsidR="006E7545" w:rsidRDefault="006E7545" w:rsidP="006E7545">
      <w:pPr>
        <w:pStyle w:val="Caption"/>
      </w:pPr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</w:t>
      </w:r>
      <w:bookmarkStart w:id="10" w:name="_Ref414887933"/>
      <w:bookmarkEnd w:id="8"/>
      <w:r>
        <w:t>Scenario case (i) with single tone, 3.75 and 15 kHz sub-carrier spacing.</w:t>
      </w:r>
    </w:p>
    <w:p w14:paraId="17CB0829" w14:textId="5E8E6819" w:rsidR="006E7545" w:rsidRPr="009A7C7B" w:rsidRDefault="006E7545" w:rsidP="006E7545">
      <w:r>
        <w:t xml:space="preserve">Figure 5 </w:t>
      </w:r>
      <w:r w:rsidRPr="003D0F3A">
        <w:t xml:space="preserve">depicts the user throughput </w:t>
      </w:r>
      <w:r>
        <w:t xml:space="preserve">of case (i) </w:t>
      </w:r>
      <w:r w:rsidRPr="003D0F3A">
        <w:t>at various loads for 15 KHz and 3.75 kHz subcarrier spacing, respectively, for single-tone user bandwidths. Stand-alone mode is assumed and no guard-bands are considered. At low load, there is a significant user throughput loss for 3.75 kHz subcarrier-spacing compared to 15 kHz subcarrier-spacing, when only a single tone is allocated for each user. This is a consequence of leaving a large fraction of the spectrum unused. On the other hand, 3.75 kHz subcarrier-spacing gives a slightly higher capacity. The very small capacity increase by 3.75 kHz subcarrier spacing can however not be motivated due to the large decrease in user throughput.</w:t>
      </w:r>
    </w:p>
    <w:p w14:paraId="6304DE0A" w14:textId="183C680B" w:rsidR="006E7545" w:rsidRPr="008443E7" w:rsidRDefault="006E7545" w:rsidP="006E7545">
      <w:pPr>
        <w:numPr>
          <w:ilvl w:val="0"/>
          <w:numId w:val="42"/>
        </w:numPr>
        <w:ind w:left="1417" w:hanging="1417"/>
        <w:rPr>
          <w:b/>
          <w:lang w:val="en-US"/>
        </w:rPr>
      </w:pPr>
      <w:r>
        <w:rPr>
          <w:b/>
          <w:lang w:val="en-US"/>
        </w:rPr>
        <w:t xml:space="preserve">Potential gains with </w:t>
      </w:r>
      <w:proofErr w:type="gramStart"/>
      <w:r>
        <w:rPr>
          <w:b/>
          <w:lang w:val="en-US"/>
        </w:rPr>
        <w:t>3.75kHz</w:t>
      </w:r>
      <w:proofErr w:type="gramEnd"/>
      <w:r>
        <w:rPr>
          <w:b/>
          <w:lang w:val="en-US"/>
        </w:rPr>
        <w:t xml:space="preserve"> are not consistent.</w:t>
      </w:r>
    </w:p>
    <w:p w14:paraId="63C94FE7" w14:textId="77777777" w:rsidR="006E7545" w:rsidRPr="00E8158A" w:rsidRDefault="006E7545" w:rsidP="006E7545">
      <w:pPr>
        <w:rPr>
          <w:lang w:val="en-US"/>
        </w:rPr>
      </w:pPr>
    </w:p>
    <w:p w14:paraId="3D0B3EB0" w14:textId="77777777" w:rsidR="006E7545" w:rsidRPr="00E8158A" w:rsidRDefault="006E7545" w:rsidP="006E7545">
      <w:pPr>
        <w:pStyle w:val="Heading1"/>
        <w:rPr>
          <w:lang w:val="sv-SE"/>
        </w:rPr>
      </w:pPr>
      <w:r w:rsidRPr="00E8158A">
        <w:rPr>
          <w:lang w:val="sv-SE"/>
        </w:rPr>
        <w:t>Conclusions</w:t>
      </w:r>
      <w:bookmarkEnd w:id="10"/>
    </w:p>
    <w:p w14:paraId="7370C3BF" w14:textId="77777777" w:rsidR="006E7545" w:rsidRPr="00A04A74" w:rsidRDefault="006E7545" w:rsidP="006E7545">
      <w:pPr>
        <w:rPr>
          <w:lang w:val="en-US"/>
        </w:rPr>
      </w:pPr>
      <w:r>
        <w:rPr>
          <w:lang w:val="en-US"/>
        </w:rPr>
        <w:t>The simulations presented here show that there is limited</w:t>
      </w:r>
      <w:r w:rsidRPr="00A04A74">
        <w:rPr>
          <w:lang w:val="en-US"/>
        </w:rPr>
        <w:t xml:space="preserve"> UL capacity gain with 3.75 kHz signal bandwidth instead of 15 kHz</w:t>
      </w:r>
      <w:r>
        <w:rPr>
          <w:lang w:val="en-US"/>
        </w:rPr>
        <w:t xml:space="preserve">. There is some gain in some scenarios, e.g. the more challenging use cases, while in other scenarios </w:t>
      </w:r>
      <w:proofErr w:type="gramStart"/>
      <w:r>
        <w:rPr>
          <w:lang w:val="en-US"/>
        </w:rPr>
        <w:t>15kHz</w:t>
      </w:r>
      <w:proofErr w:type="gramEnd"/>
      <w:r>
        <w:rPr>
          <w:lang w:val="en-US"/>
        </w:rPr>
        <w:t xml:space="preserve"> performs better, e.g. the GERAN scenarios.  </w:t>
      </w:r>
    </w:p>
    <w:p w14:paraId="4812601C" w14:textId="64BC2946" w:rsidR="006E7545" w:rsidRPr="00A04A74" w:rsidRDefault="006E7545" w:rsidP="006E7545">
      <w:pPr>
        <w:rPr>
          <w:lang w:val="en-US"/>
        </w:rPr>
      </w:pPr>
      <w:r w:rsidRPr="00A04A74">
        <w:rPr>
          <w:lang w:val="en-US"/>
        </w:rPr>
        <w:t xml:space="preserve">Extra guard bands </w:t>
      </w:r>
      <w:r>
        <w:rPr>
          <w:lang w:val="en-US"/>
        </w:rPr>
        <w:t xml:space="preserve">are </w:t>
      </w:r>
      <w:r w:rsidRPr="00A04A74">
        <w:rPr>
          <w:lang w:val="en-US"/>
        </w:rPr>
        <w:t>needed only for 3.75 kHz signal bandwidth</w:t>
      </w:r>
      <w:r>
        <w:rPr>
          <w:lang w:val="en-US"/>
        </w:rPr>
        <w:t xml:space="preserve">. These guard bands result in </w:t>
      </w:r>
      <w:r w:rsidRPr="00A04A74">
        <w:rPr>
          <w:lang w:val="en-US"/>
        </w:rPr>
        <w:t>11% loss for the GERAN scenario</w:t>
      </w:r>
      <w:r>
        <w:rPr>
          <w:lang w:val="en-US"/>
        </w:rPr>
        <w:t xml:space="preserve"> and </w:t>
      </w:r>
      <w:r w:rsidRPr="00A04A74">
        <w:rPr>
          <w:lang w:val="en-US"/>
        </w:rPr>
        <w:t>3% loss to 12% gain for more challenging use cases</w:t>
      </w:r>
    </w:p>
    <w:bookmarkStart w:id="11" w:name="_Ref438219079"/>
    <w:p w14:paraId="03FDF767" w14:textId="77777777" w:rsidR="006E7545" w:rsidRDefault="006E7545" w:rsidP="006E7545">
      <w:pPr>
        <w:numPr>
          <w:ilvl w:val="0"/>
          <w:numId w:val="46"/>
        </w:numPr>
        <w:ind w:left="1417" w:hanging="1417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_Ref414887927 </w:instrText>
      </w:r>
      <w:r>
        <w:rPr>
          <w:b/>
          <w:lang w:val="en-US"/>
        </w:rPr>
        <w:fldChar w:fldCharType="separate"/>
      </w:r>
      <w:r>
        <w:rPr>
          <w:b/>
          <w:lang w:val="en-US"/>
        </w:rPr>
        <w:t xml:space="preserve">Simulations show that </w:t>
      </w:r>
      <w:r w:rsidRPr="00161C20">
        <w:rPr>
          <w:b/>
          <w:lang w:val="en-US"/>
        </w:rPr>
        <w:t>15 kHz can support sufficiently large number of devices per cell</w:t>
      </w:r>
      <w:r>
        <w:rPr>
          <w:b/>
          <w:lang w:val="en-US"/>
        </w:rPr>
        <w:t>.</w:t>
      </w:r>
      <w:r>
        <w:rPr>
          <w:b/>
          <w:lang w:val="en-US"/>
        </w:rPr>
        <w:fldChar w:fldCharType="end"/>
      </w:r>
      <w:bookmarkEnd w:id="11"/>
    </w:p>
    <w:p w14:paraId="4108ED1B" w14:textId="77777777" w:rsidR="006E7545" w:rsidRDefault="006E7545" w:rsidP="006E7545">
      <w:pPr>
        <w:numPr>
          <w:ilvl w:val="0"/>
          <w:numId w:val="46"/>
        </w:numPr>
        <w:ind w:left="1417" w:hanging="1417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_Ref438219077 </w:instrText>
      </w:r>
      <w:r>
        <w:rPr>
          <w:b/>
          <w:lang w:val="en-US"/>
        </w:rPr>
        <w:fldChar w:fldCharType="separate"/>
      </w:r>
      <w:bookmarkStart w:id="12" w:name="_Ref438219080"/>
      <w:r>
        <w:rPr>
          <w:b/>
          <w:lang w:val="en-US"/>
        </w:rPr>
        <w:t>The previous observation holds even when coverage is very poor.</w:t>
      </w:r>
      <w:bookmarkEnd w:id="12"/>
      <w:r>
        <w:rPr>
          <w:b/>
          <w:lang w:val="en-US"/>
        </w:rPr>
        <w:fldChar w:fldCharType="end"/>
      </w:r>
    </w:p>
    <w:p w14:paraId="0E7CF19D" w14:textId="77777777" w:rsidR="006E7545" w:rsidRDefault="006E7545" w:rsidP="006E7545">
      <w:pPr>
        <w:numPr>
          <w:ilvl w:val="0"/>
          <w:numId w:val="46"/>
        </w:numPr>
        <w:ind w:left="1417" w:hanging="1417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_Ref438219078 </w:instrText>
      </w:r>
      <w:r>
        <w:rPr>
          <w:b/>
          <w:lang w:val="en-US"/>
        </w:rPr>
        <w:fldChar w:fldCharType="separate"/>
      </w:r>
      <w:bookmarkStart w:id="13" w:name="_Ref438219081"/>
      <w:proofErr w:type="gramStart"/>
      <w:r w:rsidRPr="00E66AF1">
        <w:rPr>
          <w:b/>
          <w:lang w:val="en-US"/>
        </w:rPr>
        <w:t>15kHz</w:t>
      </w:r>
      <w:proofErr w:type="gramEnd"/>
      <w:r w:rsidRPr="00E66AF1">
        <w:rPr>
          <w:b/>
          <w:lang w:val="en-US"/>
        </w:rPr>
        <w:t xml:space="preserve"> provides much higher throughput than 3.75kHz and slightly higher capacity than for the 3.75kHz-case</w:t>
      </w:r>
      <w:r>
        <w:rPr>
          <w:b/>
          <w:lang w:val="en-US"/>
        </w:rPr>
        <w:t>.</w:t>
      </w:r>
      <w:bookmarkEnd w:id="13"/>
      <w:r>
        <w:rPr>
          <w:b/>
          <w:lang w:val="en-US"/>
        </w:rPr>
        <w:fldChar w:fldCharType="end"/>
      </w:r>
    </w:p>
    <w:p w14:paraId="6A4DCE7A" w14:textId="77777777" w:rsidR="006E7545" w:rsidRDefault="006E7545" w:rsidP="006E7545">
      <w:pPr>
        <w:numPr>
          <w:ilvl w:val="0"/>
          <w:numId w:val="46"/>
        </w:numPr>
        <w:ind w:left="1417" w:hanging="1417"/>
        <w:rPr>
          <w:b/>
          <w:lang w:val="en-US"/>
        </w:rPr>
      </w:pPr>
      <w:r>
        <w:rPr>
          <w:b/>
          <w:lang w:val="en-US"/>
        </w:rPr>
        <w:t>Sensitivity analysis confirms previous results.</w:t>
      </w:r>
    </w:p>
    <w:p w14:paraId="45F7123C" w14:textId="77777777" w:rsidR="006E7545" w:rsidRPr="008443E7" w:rsidRDefault="006E7545" w:rsidP="006E7545">
      <w:pPr>
        <w:numPr>
          <w:ilvl w:val="0"/>
          <w:numId w:val="46"/>
        </w:numPr>
        <w:ind w:left="357" w:hanging="357"/>
        <w:rPr>
          <w:b/>
          <w:lang w:val="en-US"/>
        </w:rPr>
      </w:pPr>
      <w:r>
        <w:rPr>
          <w:b/>
          <w:lang w:val="en-US"/>
        </w:rPr>
        <w:t xml:space="preserve">Potential gains with </w:t>
      </w:r>
      <w:proofErr w:type="gramStart"/>
      <w:r>
        <w:rPr>
          <w:b/>
          <w:lang w:val="en-US"/>
        </w:rPr>
        <w:t>3.75kHz</w:t>
      </w:r>
      <w:proofErr w:type="gramEnd"/>
      <w:r>
        <w:rPr>
          <w:b/>
          <w:lang w:val="en-US"/>
        </w:rPr>
        <w:t xml:space="preserve"> are not consistent.</w:t>
      </w:r>
    </w:p>
    <w:p w14:paraId="32836190" w14:textId="77777777" w:rsidR="006E7545" w:rsidRDefault="006E7545" w:rsidP="006E7545">
      <w:pPr>
        <w:rPr>
          <w:lang w:val="en-US"/>
        </w:rPr>
      </w:pPr>
    </w:p>
    <w:p w14:paraId="68F5BAE1" w14:textId="77777777" w:rsidR="008E48B7" w:rsidRPr="008E48B7" w:rsidRDefault="008E48B7" w:rsidP="008E48B7">
      <w:pPr>
        <w:pStyle w:val="Heading1"/>
        <w:rPr>
          <w:lang w:val="en-US"/>
        </w:rPr>
      </w:pPr>
      <w:r w:rsidRPr="008E48B7">
        <w:rPr>
          <w:lang w:val="en-US"/>
        </w:rPr>
        <w:lastRenderedPageBreak/>
        <w:t>References</w:t>
      </w:r>
    </w:p>
    <w:p w14:paraId="176822F7" w14:textId="77777777" w:rsidR="006E7545" w:rsidRPr="00E37E1E" w:rsidRDefault="006E7545" w:rsidP="006E7545">
      <w:pPr>
        <w:pStyle w:val="Reference"/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Times New Roman" w:hAnsi="Times New Roman"/>
        </w:rPr>
      </w:pPr>
      <w:bookmarkStart w:id="14" w:name="_Ref430941298"/>
      <w:r w:rsidRPr="00E37E1E">
        <w:rPr>
          <w:rFonts w:ascii="Times New Roman" w:hAnsi="Times New Roman"/>
        </w:rPr>
        <w:t xml:space="preserve">RP-151621, “New Work Item: </w:t>
      </w:r>
      <w:proofErr w:type="spellStart"/>
      <w:r w:rsidRPr="00E37E1E">
        <w:rPr>
          <w:rFonts w:ascii="Times New Roman" w:hAnsi="Times New Roman"/>
        </w:rPr>
        <w:t>NarrowBand</w:t>
      </w:r>
      <w:proofErr w:type="spellEnd"/>
      <w:r w:rsidRPr="00E37E1E">
        <w:rPr>
          <w:rFonts w:ascii="Times New Roman" w:hAnsi="Times New Roman"/>
        </w:rPr>
        <w:t xml:space="preserve"> IOT (NB-IOT)”, source Qualcomm Incorporated, RAN#69, Sep 14th to 16th, 2015, Phoenix, USA.</w:t>
      </w:r>
      <w:bookmarkEnd w:id="14"/>
      <w:r w:rsidRPr="00E37E1E">
        <w:rPr>
          <w:rFonts w:ascii="Times New Roman" w:hAnsi="Times New Roman"/>
        </w:rPr>
        <w:t xml:space="preserve"> </w:t>
      </w:r>
    </w:p>
    <w:p w14:paraId="11122B96" w14:textId="77777777" w:rsidR="006E7545" w:rsidRPr="00F83E73" w:rsidRDefault="006E7545" w:rsidP="006E7545">
      <w:pPr>
        <w:pStyle w:val="Reference"/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Times New Roman" w:hAnsi="Times New Roman"/>
        </w:rPr>
      </w:pPr>
      <w:r w:rsidRPr="00F83E73">
        <w:rPr>
          <w:rFonts w:ascii="Times New Roman" w:hAnsi="Times New Roman"/>
        </w:rPr>
        <w:t>3GPP TR 45.820, “Technical Specification Group GSM/EDGE Radio Access Network; Cellular System Support for Ultra Low Complexity and Low Throughput Internet of Things,” Aug. 2015, v.2.0.0.</w:t>
      </w:r>
    </w:p>
    <w:p w14:paraId="011EC268" w14:textId="77777777" w:rsidR="006E7545" w:rsidRPr="003609DD" w:rsidRDefault="006E7545" w:rsidP="006E7545">
      <w:pPr>
        <w:pStyle w:val="references"/>
        <w:numPr>
          <w:ilvl w:val="0"/>
          <w:numId w:val="0"/>
        </w:numPr>
        <w:rPr>
          <w:szCs w:val="20"/>
        </w:rPr>
      </w:pPr>
    </w:p>
    <w:p w14:paraId="5AEDB9E5" w14:textId="77777777" w:rsidR="006E7545" w:rsidRPr="006E7545" w:rsidRDefault="006E7545" w:rsidP="00BD21BC">
      <w:pPr>
        <w:keepNext/>
        <w:tabs>
          <w:tab w:val="left" w:pos="2552"/>
        </w:tabs>
        <w:rPr>
          <w:lang w:val="en-US"/>
        </w:rPr>
      </w:pPr>
    </w:p>
    <w:sectPr w:rsidR="006E7545" w:rsidRPr="006E7545" w:rsidSect="003B5666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C633E" w14:textId="77777777" w:rsidR="007E2284" w:rsidRDefault="007E2284">
      <w:pPr>
        <w:spacing w:after="0"/>
      </w:pPr>
      <w:r>
        <w:separator/>
      </w:r>
    </w:p>
  </w:endnote>
  <w:endnote w:type="continuationSeparator" w:id="0">
    <w:p w14:paraId="79727FC9" w14:textId="77777777" w:rsidR="007E2284" w:rsidRDefault="007E22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FC692C" w:rsidRDefault="00FC692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0E3D">
      <w:rPr>
        <w:rStyle w:val="PageNumber"/>
      </w:rPr>
      <w:t>6</w:t>
    </w:r>
    <w:r>
      <w:rPr>
        <w:rStyle w:val="PageNumber"/>
      </w:rPr>
      <w:fldChar w:fldCharType="end"/>
    </w:r>
    <w:bookmarkStart w:id="1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0E3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FC692C" w:rsidRDefault="00FC692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0E3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0E3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0BBBE" w14:textId="77777777" w:rsidR="007E2284" w:rsidRDefault="007E2284">
      <w:pPr>
        <w:spacing w:after="0"/>
      </w:pPr>
      <w:r>
        <w:separator/>
      </w:r>
    </w:p>
  </w:footnote>
  <w:footnote w:type="continuationSeparator" w:id="0">
    <w:p w14:paraId="355DD484" w14:textId="77777777" w:rsidR="007E2284" w:rsidRDefault="007E22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FC692C" w:rsidRPr="006A0FC7" w:rsidRDefault="00FC692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FC692C" w:rsidRPr="00BF30DA" w:rsidRDefault="00FC692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B43F77"/>
    <w:multiLevelType w:val="hybridMultilevel"/>
    <w:tmpl w:val="B19A0808"/>
    <w:lvl w:ilvl="0" w:tplc="08B20A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2A4BFB"/>
    <w:multiLevelType w:val="hybridMultilevel"/>
    <w:tmpl w:val="28000B24"/>
    <w:lvl w:ilvl="0" w:tplc="B9822016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A32DC"/>
    <w:multiLevelType w:val="hybridMultilevel"/>
    <w:tmpl w:val="A262F88A"/>
    <w:lvl w:ilvl="0" w:tplc="D12C05A6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218807A1"/>
    <w:multiLevelType w:val="hybridMultilevel"/>
    <w:tmpl w:val="B17C7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C13A3"/>
    <w:multiLevelType w:val="hybridMultilevel"/>
    <w:tmpl w:val="EC8E9F8A"/>
    <w:lvl w:ilvl="0" w:tplc="3A5A17C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>
    <w:nsid w:val="55100648"/>
    <w:multiLevelType w:val="hybridMultilevel"/>
    <w:tmpl w:val="F586983C"/>
    <w:lvl w:ilvl="0" w:tplc="CAAA996E">
      <w:start w:val="1"/>
      <w:numFmt w:val="decimal"/>
      <w:lvlRestart w:val="0"/>
      <w:lvlText w:val="Observation %1"/>
      <w:lvlJc w:val="left"/>
      <w:pPr>
        <w:ind w:left="720" w:hanging="36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FC518B"/>
    <w:multiLevelType w:val="hybridMultilevel"/>
    <w:tmpl w:val="EB2476C8"/>
    <w:lvl w:ilvl="0" w:tplc="EA009B1A">
      <w:start w:val="1"/>
      <w:numFmt w:val="decimal"/>
      <w:lvlText w:val="Observation %1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6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972211"/>
    <w:multiLevelType w:val="hybridMultilevel"/>
    <w:tmpl w:val="03C26C76"/>
    <w:lvl w:ilvl="0" w:tplc="5D4A5F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16"/>
  </w:num>
  <w:num w:numId="4">
    <w:abstractNumId w:val="1"/>
  </w:num>
  <w:num w:numId="5">
    <w:abstractNumId w:val="34"/>
  </w:num>
  <w:num w:numId="6">
    <w:abstractNumId w:val="22"/>
  </w:num>
  <w:num w:numId="7">
    <w:abstractNumId w:val="7"/>
  </w:num>
  <w:num w:numId="8">
    <w:abstractNumId w:val="26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8"/>
  </w:num>
  <w:num w:numId="20">
    <w:abstractNumId w:val="4"/>
  </w:num>
  <w:num w:numId="21">
    <w:abstractNumId w:val="23"/>
  </w:num>
  <w:num w:numId="22">
    <w:abstractNumId w:val="3"/>
  </w:num>
  <w:num w:numId="23">
    <w:abstractNumId w:val="32"/>
  </w:num>
  <w:num w:numId="24">
    <w:abstractNumId w:val="2"/>
  </w:num>
  <w:num w:numId="25">
    <w:abstractNumId w:val="19"/>
  </w:num>
  <w:num w:numId="26">
    <w:abstractNumId w:val="21"/>
  </w:num>
  <w:num w:numId="27">
    <w:abstractNumId w:val="5"/>
  </w:num>
  <w:num w:numId="28">
    <w:abstractNumId w:val="0"/>
  </w:num>
  <w:num w:numId="29">
    <w:abstractNumId w:val="20"/>
  </w:num>
  <w:num w:numId="30">
    <w:abstractNumId w:val="29"/>
  </w:num>
  <w:num w:numId="31">
    <w:abstractNumId w:val="26"/>
  </w:num>
  <w:num w:numId="32">
    <w:abstractNumId w:val="36"/>
  </w:num>
  <w:num w:numId="33">
    <w:abstractNumId w:val="10"/>
  </w:num>
  <w:num w:numId="34">
    <w:abstractNumId w:val="24"/>
  </w:num>
  <w:num w:numId="35">
    <w:abstractNumId w:val="35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9"/>
  </w:num>
  <w:num w:numId="39">
    <w:abstractNumId w:val="27"/>
  </w:num>
  <w:num w:numId="40">
    <w:abstractNumId w:val="11"/>
  </w:num>
  <w:num w:numId="41">
    <w:abstractNumId w:val="30"/>
  </w:num>
  <w:num w:numId="42">
    <w:abstractNumId w:val="31"/>
  </w:num>
  <w:num w:numId="43">
    <w:abstractNumId w:val="17"/>
  </w:num>
  <w:num w:numId="44">
    <w:abstractNumId w:val="12"/>
  </w:num>
  <w:num w:numId="45">
    <w:abstractNumId w:val="13"/>
  </w:num>
  <w:num w:numId="46">
    <w:abstractNumId w:val="33"/>
  </w:num>
  <w:num w:numId="47">
    <w:abstractNumId w:val="15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6B9C"/>
    <w:rsid w:val="0001021E"/>
    <w:rsid w:val="00010AEE"/>
    <w:rsid w:val="0001270B"/>
    <w:rsid w:val="00013440"/>
    <w:rsid w:val="00013F4F"/>
    <w:rsid w:val="00017366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42044"/>
    <w:rsid w:val="00042A4F"/>
    <w:rsid w:val="0004621B"/>
    <w:rsid w:val="00047DB8"/>
    <w:rsid w:val="000502F3"/>
    <w:rsid w:val="0005061C"/>
    <w:rsid w:val="000530D9"/>
    <w:rsid w:val="0005365D"/>
    <w:rsid w:val="0005434F"/>
    <w:rsid w:val="0005445E"/>
    <w:rsid w:val="00055864"/>
    <w:rsid w:val="00055E6D"/>
    <w:rsid w:val="00057B28"/>
    <w:rsid w:val="00061919"/>
    <w:rsid w:val="00067182"/>
    <w:rsid w:val="0007045A"/>
    <w:rsid w:val="0007117D"/>
    <w:rsid w:val="000721FC"/>
    <w:rsid w:val="00072382"/>
    <w:rsid w:val="00083E83"/>
    <w:rsid w:val="000857F2"/>
    <w:rsid w:val="00087350"/>
    <w:rsid w:val="0008796B"/>
    <w:rsid w:val="00090B6D"/>
    <w:rsid w:val="00091A7F"/>
    <w:rsid w:val="00093C23"/>
    <w:rsid w:val="00093FC2"/>
    <w:rsid w:val="00096C16"/>
    <w:rsid w:val="000A207F"/>
    <w:rsid w:val="000A29C6"/>
    <w:rsid w:val="000A2AF1"/>
    <w:rsid w:val="000A4FF9"/>
    <w:rsid w:val="000A6510"/>
    <w:rsid w:val="000B0E81"/>
    <w:rsid w:val="000B2C9C"/>
    <w:rsid w:val="000B31DD"/>
    <w:rsid w:val="000B32CA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451A"/>
    <w:rsid w:val="000D4E16"/>
    <w:rsid w:val="000E114A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54B2"/>
    <w:rsid w:val="00140C24"/>
    <w:rsid w:val="00142231"/>
    <w:rsid w:val="00142630"/>
    <w:rsid w:val="00142768"/>
    <w:rsid w:val="00146951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A90"/>
    <w:rsid w:val="001A0E97"/>
    <w:rsid w:val="001A3ADC"/>
    <w:rsid w:val="001B3005"/>
    <w:rsid w:val="001B4BA9"/>
    <w:rsid w:val="001B5230"/>
    <w:rsid w:val="001B578B"/>
    <w:rsid w:val="001B58B6"/>
    <w:rsid w:val="001C6000"/>
    <w:rsid w:val="001D06AC"/>
    <w:rsid w:val="001D07A5"/>
    <w:rsid w:val="001D6BC7"/>
    <w:rsid w:val="001E1C9C"/>
    <w:rsid w:val="001E213E"/>
    <w:rsid w:val="001E272E"/>
    <w:rsid w:val="001E2E2B"/>
    <w:rsid w:val="001E582A"/>
    <w:rsid w:val="001E7AF7"/>
    <w:rsid w:val="001F0CE9"/>
    <w:rsid w:val="001F3714"/>
    <w:rsid w:val="001F39B2"/>
    <w:rsid w:val="001F6E69"/>
    <w:rsid w:val="00200E3D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27B72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3976"/>
    <w:rsid w:val="00264921"/>
    <w:rsid w:val="00265439"/>
    <w:rsid w:val="00267AC3"/>
    <w:rsid w:val="00271404"/>
    <w:rsid w:val="0027285A"/>
    <w:rsid w:val="00283780"/>
    <w:rsid w:val="00285772"/>
    <w:rsid w:val="00287364"/>
    <w:rsid w:val="00287D33"/>
    <w:rsid w:val="00291AA4"/>
    <w:rsid w:val="00291F1D"/>
    <w:rsid w:val="00292A88"/>
    <w:rsid w:val="002951FC"/>
    <w:rsid w:val="002A5DC6"/>
    <w:rsid w:val="002B07C7"/>
    <w:rsid w:val="002B11BE"/>
    <w:rsid w:val="002B2B55"/>
    <w:rsid w:val="002B368A"/>
    <w:rsid w:val="002B4986"/>
    <w:rsid w:val="002B5026"/>
    <w:rsid w:val="002C3811"/>
    <w:rsid w:val="002C39D5"/>
    <w:rsid w:val="002C467F"/>
    <w:rsid w:val="002C6DB8"/>
    <w:rsid w:val="002D14F3"/>
    <w:rsid w:val="002D3252"/>
    <w:rsid w:val="002D43CF"/>
    <w:rsid w:val="002D4EAD"/>
    <w:rsid w:val="002D5B4C"/>
    <w:rsid w:val="002D6C26"/>
    <w:rsid w:val="002E499D"/>
    <w:rsid w:val="002E4B80"/>
    <w:rsid w:val="002F3FAE"/>
    <w:rsid w:val="002F6BC2"/>
    <w:rsid w:val="002F7983"/>
    <w:rsid w:val="003013DF"/>
    <w:rsid w:val="00303329"/>
    <w:rsid w:val="00312CFF"/>
    <w:rsid w:val="003140E8"/>
    <w:rsid w:val="00316323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5E3B"/>
    <w:rsid w:val="003379B0"/>
    <w:rsid w:val="00341C71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0ADB"/>
    <w:rsid w:val="003A0C22"/>
    <w:rsid w:val="003A646E"/>
    <w:rsid w:val="003A6896"/>
    <w:rsid w:val="003B2F31"/>
    <w:rsid w:val="003B5666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401315"/>
    <w:rsid w:val="0040291E"/>
    <w:rsid w:val="00405F52"/>
    <w:rsid w:val="004077BE"/>
    <w:rsid w:val="00411778"/>
    <w:rsid w:val="00414004"/>
    <w:rsid w:val="00414D8B"/>
    <w:rsid w:val="00414F7A"/>
    <w:rsid w:val="00420701"/>
    <w:rsid w:val="00420745"/>
    <w:rsid w:val="00425B94"/>
    <w:rsid w:val="004264B6"/>
    <w:rsid w:val="00427DC8"/>
    <w:rsid w:val="00433D32"/>
    <w:rsid w:val="004373A6"/>
    <w:rsid w:val="004375FE"/>
    <w:rsid w:val="00437704"/>
    <w:rsid w:val="00440089"/>
    <w:rsid w:val="00440964"/>
    <w:rsid w:val="00443BBF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72397"/>
    <w:rsid w:val="0047268E"/>
    <w:rsid w:val="004743C0"/>
    <w:rsid w:val="00476D85"/>
    <w:rsid w:val="004779A9"/>
    <w:rsid w:val="00486F40"/>
    <w:rsid w:val="0049438E"/>
    <w:rsid w:val="00494DB7"/>
    <w:rsid w:val="004A0B27"/>
    <w:rsid w:val="004A0C80"/>
    <w:rsid w:val="004A0D5B"/>
    <w:rsid w:val="004A2D23"/>
    <w:rsid w:val="004A7311"/>
    <w:rsid w:val="004A74BA"/>
    <w:rsid w:val="004B067D"/>
    <w:rsid w:val="004B446B"/>
    <w:rsid w:val="004B4AC8"/>
    <w:rsid w:val="004C1326"/>
    <w:rsid w:val="004C1417"/>
    <w:rsid w:val="004C18ED"/>
    <w:rsid w:val="004C4BDC"/>
    <w:rsid w:val="004D108E"/>
    <w:rsid w:val="004D7226"/>
    <w:rsid w:val="004F3C24"/>
    <w:rsid w:val="004F595D"/>
    <w:rsid w:val="004F756F"/>
    <w:rsid w:val="005001A3"/>
    <w:rsid w:val="00502B07"/>
    <w:rsid w:val="005036DA"/>
    <w:rsid w:val="005052C9"/>
    <w:rsid w:val="005057F6"/>
    <w:rsid w:val="00506961"/>
    <w:rsid w:val="0051258A"/>
    <w:rsid w:val="0051496C"/>
    <w:rsid w:val="00514B79"/>
    <w:rsid w:val="00516EB5"/>
    <w:rsid w:val="00520546"/>
    <w:rsid w:val="00520743"/>
    <w:rsid w:val="0052075D"/>
    <w:rsid w:val="00521C79"/>
    <w:rsid w:val="00525356"/>
    <w:rsid w:val="005256AF"/>
    <w:rsid w:val="00526E67"/>
    <w:rsid w:val="00530CE6"/>
    <w:rsid w:val="00531E00"/>
    <w:rsid w:val="00532C41"/>
    <w:rsid w:val="00533201"/>
    <w:rsid w:val="00536EC1"/>
    <w:rsid w:val="00541C4C"/>
    <w:rsid w:val="00543F98"/>
    <w:rsid w:val="00551F8F"/>
    <w:rsid w:val="0055496A"/>
    <w:rsid w:val="00554CCD"/>
    <w:rsid w:val="00557491"/>
    <w:rsid w:val="005579F6"/>
    <w:rsid w:val="0056106B"/>
    <w:rsid w:val="00566308"/>
    <w:rsid w:val="005708A8"/>
    <w:rsid w:val="005753F0"/>
    <w:rsid w:val="00581B12"/>
    <w:rsid w:val="00582B5F"/>
    <w:rsid w:val="00582C92"/>
    <w:rsid w:val="005849A7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4EAA"/>
    <w:rsid w:val="005A6E8F"/>
    <w:rsid w:val="005A7BD4"/>
    <w:rsid w:val="005B14FF"/>
    <w:rsid w:val="005B1C57"/>
    <w:rsid w:val="005B1CD7"/>
    <w:rsid w:val="005B2DC1"/>
    <w:rsid w:val="005B3ECD"/>
    <w:rsid w:val="005B742F"/>
    <w:rsid w:val="005C0CAE"/>
    <w:rsid w:val="005C1775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0698E"/>
    <w:rsid w:val="0060795A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5517"/>
    <w:rsid w:val="00696317"/>
    <w:rsid w:val="006A0D1F"/>
    <w:rsid w:val="006A0FC7"/>
    <w:rsid w:val="006A1ADD"/>
    <w:rsid w:val="006A1CDE"/>
    <w:rsid w:val="006A1CF1"/>
    <w:rsid w:val="006A1F5B"/>
    <w:rsid w:val="006A437D"/>
    <w:rsid w:val="006A72D1"/>
    <w:rsid w:val="006B2525"/>
    <w:rsid w:val="006B5B75"/>
    <w:rsid w:val="006B6F0C"/>
    <w:rsid w:val="006C0829"/>
    <w:rsid w:val="006C5DC3"/>
    <w:rsid w:val="006D1803"/>
    <w:rsid w:val="006D2304"/>
    <w:rsid w:val="006D2A6D"/>
    <w:rsid w:val="006D2CBF"/>
    <w:rsid w:val="006D76CD"/>
    <w:rsid w:val="006E1967"/>
    <w:rsid w:val="006E321C"/>
    <w:rsid w:val="006E4216"/>
    <w:rsid w:val="006E6C70"/>
    <w:rsid w:val="006E7545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109"/>
    <w:rsid w:val="00713C99"/>
    <w:rsid w:val="00715EF6"/>
    <w:rsid w:val="00721B29"/>
    <w:rsid w:val="00721E7C"/>
    <w:rsid w:val="00723D77"/>
    <w:rsid w:val="00725EF5"/>
    <w:rsid w:val="00726BE5"/>
    <w:rsid w:val="00727124"/>
    <w:rsid w:val="00736CC6"/>
    <w:rsid w:val="00736D17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1706"/>
    <w:rsid w:val="007626D3"/>
    <w:rsid w:val="00762DFA"/>
    <w:rsid w:val="00763114"/>
    <w:rsid w:val="00766775"/>
    <w:rsid w:val="00767578"/>
    <w:rsid w:val="00774294"/>
    <w:rsid w:val="00775B33"/>
    <w:rsid w:val="007821F5"/>
    <w:rsid w:val="007844BE"/>
    <w:rsid w:val="00786E71"/>
    <w:rsid w:val="00792F8A"/>
    <w:rsid w:val="00794512"/>
    <w:rsid w:val="00794A0D"/>
    <w:rsid w:val="00794A44"/>
    <w:rsid w:val="00794DF0"/>
    <w:rsid w:val="007A2B08"/>
    <w:rsid w:val="007A3826"/>
    <w:rsid w:val="007A3884"/>
    <w:rsid w:val="007A4758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2C60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2284"/>
    <w:rsid w:val="007E4172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100A9"/>
    <w:rsid w:val="00811984"/>
    <w:rsid w:val="008125A7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27E93"/>
    <w:rsid w:val="00832F1E"/>
    <w:rsid w:val="0083685F"/>
    <w:rsid w:val="00837339"/>
    <w:rsid w:val="0083744D"/>
    <w:rsid w:val="00847AA7"/>
    <w:rsid w:val="008517E1"/>
    <w:rsid w:val="008523A6"/>
    <w:rsid w:val="00862056"/>
    <w:rsid w:val="008647B5"/>
    <w:rsid w:val="00864CBC"/>
    <w:rsid w:val="0087211E"/>
    <w:rsid w:val="00877C7C"/>
    <w:rsid w:val="00881E8B"/>
    <w:rsid w:val="00890DA4"/>
    <w:rsid w:val="0089255C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D32F9"/>
    <w:rsid w:val="008D586A"/>
    <w:rsid w:val="008D77EC"/>
    <w:rsid w:val="008D77F8"/>
    <w:rsid w:val="008E10A0"/>
    <w:rsid w:val="008E1A2F"/>
    <w:rsid w:val="008E3D20"/>
    <w:rsid w:val="008E45C0"/>
    <w:rsid w:val="008E48B7"/>
    <w:rsid w:val="008E78EA"/>
    <w:rsid w:val="008E7E06"/>
    <w:rsid w:val="008F0C24"/>
    <w:rsid w:val="008F0DB6"/>
    <w:rsid w:val="008F2129"/>
    <w:rsid w:val="008F2281"/>
    <w:rsid w:val="00900D2C"/>
    <w:rsid w:val="009030AC"/>
    <w:rsid w:val="009059FB"/>
    <w:rsid w:val="0091189A"/>
    <w:rsid w:val="00912103"/>
    <w:rsid w:val="00916CDA"/>
    <w:rsid w:val="00917064"/>
    <w:rsid w:val="0092098B"/>
    <w:rsid w:val="00920C7B"/>
    <w:rsid w:val="00922FBB"/>
    <w:rsid w:val="009264C0"/>
    <w:rsid w:val="00926614"/>
    <w:rsid w:val="0093236F"/>
    <w:rsid w:val="00932BC5"/>
    <w:rsid w:val="00932F06"/>
    <w:rsid w:val="009361F9"/>
    <w:rsid w:val="00936660"/>
    <w:rsid w:val="00937BF1"/>
    <w:rsid w:val="00937F0E"/>
    <w:rsid w:val="00942712"/>
    <w:rsid w:val="00943C09"/>
    <w:rsid w:val="00945754"/>
    <w:rsid w:val="00951444"/>
    <w:rsid w:val="00964B1D"/>
    <w:rsid w:val="009734A6"/>
    <w:rsid w:val="00975AD6"/>
    <w:rsid w:val="00976970"/>
    <w:rsid w:val="00976D4F"/>
    <w:rsid w:val="0098034C"/>
    <w:rsid w:val="0098630E"/>
    <w:rsid w:val="00987BC7"/>
    <w:rsid w:val="009927B8"/>
    <w:rsid w:val="009977AB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D7D8D"/>
    <w:rsid w:val="009E04DD"/>
    <w:rsid w:val="009E30ED"/>
    <w:rsid w:val="009E3ACB"/>
    <w:rsid w:val="009E51CF"/>
    <w:rsid w:val="009E580E"/>
    <w:rsid w:val="009E6AF5"/>
    <w:rsid w:val="009E7866"/>
    <w:rsid w:val="009F05D0"/>
    <w:rsid w:val="009F1ABF"/>
    <w:rsid w:val="009F5DC6"/>
    <w:rsid w:val="00A00C54"/>
    <w:rsid w:val="00A0258F"/>
    <w:rsid w:val="00A035F9"/>
    <w:rsid w:val="00A03E08"/>
    <w:rsid w:val="00A06824"/>
    <w:rsid w:val="00A117BE"/>
    <w:rsid w:val="00A1240C"/>
    <w:rsid w:val="00A13085"/>
    <w:rsid w:val="00A15670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75B4"/>
    <w:rsid w:val="00A67E15"/>
    <w:rsid w:val="00A7076F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6126"/>
    <w:rsid w:val="00B50FDA"/>
    <w:rsid w:val="00B512FE"/>
    <w:rsid w:val="00B51AD3"/>
    <w:rsid w:val="00B53E85"/>
    <w:rsid w:val="00B54C9E"/>
    <w:rsid w:val="00B560AA"/>
    <w:rsid w:val="00B61ED5"/>
    <w:rsid w:val="00B63086"/>
    <w:rsid w:val="00B67DC9"/>
    <w:rsid w:val="00B7385F"/>
    <w:rsid w:val="00B74EDD"/>
    <w:rsid w:val="00B80578"/>
    <w:rsid w:val="00B82E1E"/>
    <w:rsid w:val="00B82F92"/>
    <w:rsid w:val="00B86834"/>
    <w:rsid w:val="00B86897"/>
    <w:rsid w:val="00B91541"/>
    <w:rsid w:val="00B978C6"/>
    <w:rsid w:val="00BA11F0"/>
    <w:rsid w:val="00BA13A3"/>
    <w:rsid w:val="00BA1C0F"/>
    <w:rsid w:val="00BA4BA8"/>
    <w:rsid w:val="00BA5B76"/>
    <w:rsid w:val="00BA6C68"/>
    <w:rsid w:val="00BB368C"/>
    <w:rsid w:val="00BB39B5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014EC"/>
    <w:rsid w:val="00C03DF2"/>
    <w:rsid w:val="00C10807"/>
    <w:rsid w:val="00C108F7"/>
    <w:rsid w:val="00C136DA"/>
    <w:rsid w:val="00C151B5"/>
    <w:rsid w:val="00C1622F"/>
    <w:rsid w:val="00C17AE6"/>
    <w:rsid w:val="00C215CE"/>
    <w:rsid w:val="00C264AE"/>
    <w:rsid w:val="00C271CB"/>
    <w:rsid w:val="00C274A5"/>
    <w:rsid w:val="00C31E7E"/>
    <w:rsid w:val="00C35F19"/>
    <w:rsid w:val="00C40262"/>
    <w:rsid w:val="00C40D77"/>
    <w:rsid w:val="00C4362F"/>
    <w:rsid w:val="00C44055"/>
    <w:rsid w:val="00C46124"/>
    <w:rsid w:val="00C5158D"/>
    <w:rsid w:val="00C5161E"/>
    <w:rsid w:val="00C540F5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57C7"/>
    <w:rsid w:val="00C76A41"/>
    <w:rsid w:val="00C76D1D"/>
    <w:rsid w:val="00C80606"/>
    <w:rsid w:val="00C83EE9"/>
    <w:rsid w:val="00C83F7B"/>
    <w:rsid w:val="00C85FD2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7C76"/>
    <w:rsid w:val="00CC1987"/>
    <w:rsid w:val="00CC5FEC"/>
    <w:rsid w:val="00CD0C86"/>
    <w:rsid w:val="00CD10D7"/>
    <w:rsid w:val="00CD2FDC"/>
    <w:rsid w:val="00CD4CC6"/>
    <w:rsid w:val="00CE032A"/>
    <w:rsid w:val="00CF5782"/>
    <w:rsid w:val="00CF5C38"/>
    <w:rsid w:val="00CF6EA4"/>
    <w:rsid w:val="00D027C4"/>
    <w:rsid w:val="00D039A5"/>
    <w:rsid w:val="00D04275"/>
    <w:rsid w:val="00D06F24"/>
    <w:rsid w:val="00D0752F"/>
    <w:rsid w:val="00D07E43"/>
    <w:rsid w:val="00D13E68"/>
    <w:rsid w:val="00D207FE"/>
    <w:rsid w:val="00D20ECB"/>
    <w:rsid w:val="00D22A9C"/>
    <w:rsid w:val="00D23CE2"/>
    <w:rsid w:val="00D306B4"/>
    <w:rsid w:val="00D315D9"/>
    <w:rsid w:val="00D31CCC"/>
    <w:rsid w:val="00D37234"/>
    <w:rsid w:val="00D37A98"/>
    <w:rsid w:val="00D40070"/>
    <w:rsid w:val="00D411F0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664FB"/>
    <w:rsid w:val="00D71D98"/>
    <w:rsid w:val="00D7594C"/>
    <w:rsid w:val="00D80458"/>
    <w:rsid w:val="00D81065"/>
    <w:rsid w:val="00D82507"/>
    <w:rsid w:val="00D85A41"/>
    <w:rsid w:val="00D90EF4"/>
    <w:rsid w:val="00D9457D"/>
    <w:rsid w:val="00D95AE0"/>
    <w:rsid w:val="00D9637A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B2E50"/>
    <w:rsid w:val="00DB364B"/>
    <w:rsid w:val="00DB4EF0"/>
    <w:rsid w:val="00DB59C7"/>
    <w:rsid w:val="00DB62F7"/>
    <w:rsid w:val="00DB7110"/>
    <w:rsid w:val="00DB7666"/>
    <w:rsid w:val="00DD0097"/>
    <w:rsid w:val="00DD1560"/>
    <w:rsid w:val="00DD1A1C"/>
    <w:rsid w:val="00DD2460"/>
    <w:rsid w:val="00DD2F6F"/>
    <w:rsid w:val="00DD3391"/>
    <w:rsid w:val="00DD5381"/>
    <w:rsid w:val="00DD7377"/>
    <w:rsid w:val="00DD7B80"/>
    <w:rsid w:val="00DE0DA6"/>
    <w:rsid w:val="00DE2D75"/>
    <w:rsid w:val="00DE32CE"/>
    <w:rsid w:val="00DE3C38"/>
    <w:rsid w:val="00DE7119"/>
    <w:rsid w:val="00DF098F"/>
    <w:rsid w:val="00DF0ED4"/>
    <w:rsid w:val="00DF356B"/>
    <w:rsid w:val="00E01159"/>
    <w:rsid w:val="00E042B7"/>
    <w:rsid w:val="00E0521E"/>
    <w:rsid w:val="00E05F99"/>
    <w:rsid w:val="00E06073"/>
    <w:rsid w:val="00E07950"/>
    <w:rsid w:val="00E132EC"/>
    <w:rsid w:val="00E1488E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37B8C"/>
    <w:rsid w:val="00E41969"/>
    <w:rsid w:val="00E41FF8"/>
    <w:rsid w:val="00E44612"/>
    <w:rsid w:val="00E446A7"/>
    <w:rsid w:val="00E44741"/>
    <w:rsid w:val="00E47250"/>
    <w:rsid w:val="00E612CB"/>
    <w:rsid w:val="00E64566"/>
    <w:rsid w:val="00E64A66"/>
    <w:rsid w:val="00E653E6"/>
    <w:rsid w:val="00E6629F"/>
    <w:rsid w:val="00E67516"/>
    <w:rsid w:val="00E71EB5"/>
    <w:rsid w:val="00E72D55"/>
    <w:rsid w:val="00E75C01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5A2B"/>
    <w:rsid w:val="00EB22D4"/>
    <w:rsid w:val="00EB3A2B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49B8"/>
    <w:rsid w:val="00ED4E41"/>
    <w:rsid w:val="00EE0DBB"/>
    <w:rsid w:val="00EE2877"/>
    <w:rsid w:val="00EE4363"/>
    <w:rsid w:val="00EF3895"/>
    <w:rsid w:val="00EF39BE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7E2A"/>
    <w:rsid w:val="00F33444"/>
    <w:rsid w:val="00F34A67"/>
    <w:rsid w:val="00F35FEC"/>
    <w:rsid w:val="00F408F2"/>
    <w:rsid w:val="00F42155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6376"/>
    <w:rsid w:val="00F865AF"/>
    <w:rsid w:val="00F86BCD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1947"/>
    <w:rsid w:val="00FB2D64"/>
    <w:rsid w:val="00FB6732"/>
    <w:rsid w:val="00FB7C41"/>
    <w:rsid w:val="00FC0D1B"/>
    <w:rsid w:val="00FC1C09"/>
    <w:rsid w:val="00FC281B"/>
    <w:rsid w:val="00FC3258"/>
    <w:rsid w:val="00FC692C"/>
    <w:rsid w:val="00FC69A8"/>
    <w:rsid w:val="00FD1D04"/>
    <w:rsid w:val="00FD32D1"/>
    <w:rsid w:val="00FD34FB"/>
    <w:rsid w:val="00FD56B2"/>
    <w:rsid w:val="00FD664B"/>
    <w:rsid w:val="00FE1ABE"/>
    <w:rsid w:val="00FE2070"/>
    <w:rsid w:val="00FE36AE"/>
    <w:rsid w:val="00FE69BB"/>
    <w:rsid w:val="00FE7F43"/>
    <w:rsid w:val="00FF0567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table" w:styleId="LightList-Accent1">
    <w:name w:val="Light List Accent 1"/>
    <w:basedOn w:val="TableNormal"/>
    <w:uiPriority w:val="61"/>
    <w:rsid w:val="00494DB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rsid w:val="00227B72"/>
    <w:pPr>
      <w:numPr>
        <w:numId w:val="41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227B72"/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table" w:styleId="LightList-Accent1">
    <w:name w:val="Light List Accent 1"/>
    <w:basedOn w:val="TableNormal"/>
    <w:uiPriority w:val="61"/>
    <w:rsid w:val="00494DB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rsid w:val="00227B72"/>
    <w:pPr>
      <w:numPr>
        <w:numId w:val="41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227B72"/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cid:image001.png@01D14CC3.6DF4F9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1DD7-81A1-4BE9-AA08-8E82E6318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asbjorn.grovlen@ericsson.com</dc:creator>
  <cp:lastModifiedBy>Ericsson, AG</cp:lastModifiedBy>
  <cp:revision>6</cp:revision>
  <cp:lastPrinted>2015-07-20T19:34:00Z</cp:lastPrinted>
  <dcterms:created xsi:type="dcterms:W3CDTF">2016-01-12T00:25:00Z</dcterms:created>
  <dcterms:modified xsi:type="dcterms:W3CDTF">2016-01-12T06:27:00Z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